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1B7AFF">
        <w:rPr>
          <w:rStyle w:val="Style6"/>
          <w:rFonts w:ascii="Arial Narrow" w:hAnsi="Arial Narrow"/>
          <w:sz w:val="28"/>
        </w:rPr>
        <w:t>Equipos de Repostería y Cocina</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CP</w:t>
      </w:r>
      <w:r w:rsidR="002F1483">
        <w:rPr>
          <w:rStyle w:val="Style6"/>
          <w:rFonts w:ascii="Arial Narrow" w:hAnsi="Arial Narrow"/>
          <w:color w:val="000000" w:themeColor="text1"/>
          <w:sz w:val="28"/>
        </w:rPr>
        <w:t>-</w:t>
      </w:r>
      <w:r w:rsidR="00545C59">
        <w:rPr>
          <w:rStyle w:val="Style6"/>
          <w:rFonts w:ascii="Arial Narrow" w:hAnsi="Arial Narrow"/>
          <w:color w:val="000000" w:themeColor="text1"/>
          <w:sz w:val="28"/>
        </w:rPr>
        <w:t>3</w:t>
      </w:r>
      <w:r w:rsidR="001B7AFF">
        <w:rPr>
          <w:rStyle w:val="Style6"/>
          <w:rFonts w:ascii="Arial Narrow" w:hAnsi="Arial Narrow"/>
          <w:color w:val="000000" w:themeColor="text1"/>
          <w:sz w:val="28"/>
        </w:rPr>
        <w:t>2</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2411CA"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18</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7A56E7">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5B2DA6">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5B2DA6">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5B2DA6">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w:t>
      </w:r>
      <w:r w:rsidR="00060AA7">
        <w:rPr>
          <w:rFonts w:ascii="Arial Narrow" w:hAnsi="Arial Narrow" w:cs="Arial"/>
          <w:color w:val="000000" w:themeColor="text1"/>
          <w:lang w:val="es-ES"/>
        </w:rPr>
        <w:t>Equipos de Repostería y Cocina</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320385">
        <w:rPr>
          <w:rFonts w:ascii="Arial Narrow" w:hAnsi="Arial Narrow" w:cs="Arial"/>
          <w:b/>
          <w:lang w:val="es-ES_tradnl"/>
        </w:rPr>
        <w:t xml:space="preserve">-CP- </w:t>
      </w:r>
      <w:r w:rsidR="00545C59">
        <w:rPr>
          <w:rFonts w:ascii="Arial Narrow" w:hAnsi="Arial Narrow" w:cs="Arial"/>
          <w:b/>
          <w:lang w:val="es-ES_tradnl"/>
        </w:rPr>
        <w:t>3</w:t>
      </w:r>
      <w:r w:rsidR="00CC1F08">
        <w:rPr>
          <w:rFonts w:ascii="Arial Narrow" w:hAnsi="Arial Narrow" w:cs="Arial"/>
          <w:b/>
          <w:lang w:val="es-ES_tradnl"/>
        </w:rPr>
        <w:t>2</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545C59">
        <w:rPr>
          <w:rFonts w:ascii="Arial Narrow" w:hAnsi="Arial Narrow" w:cs="Arial"/>
          <w:b/>
          <w:color w:val="000000" w:themeColor="text1"/>
        </w:rPr>
        <w:t>3</w:t>
      </w:r>
      <w:r w:rsidR="00CC1F08">
        <w:rPr>
          <w:rFonts w:ascii="Arial Narrow" w:hAnsi="Arial Narrow" w:cs="Arial"/>
          <w:b/>
          <w:color w:val="000000" w:themeColor="text1"/>
        </w:rPr>
        <w:t>2</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060AA7">
        <w:rPr>
          <w:rFonts w:ascii="Arial Narrow" w:hAnsi="Arial Narrow" w:cs="Arial"/>
        </w:rPr>
        <w:t>Equipos de Repostería y Cocina</w:t>
      </w:r>
      <w:r w:rsidR="00545C59">
        <w:rPr>
          <w:rFonts w:ascii="Arial Narrow" w:hAnsi="Arial Narrow" w:cs="Arial"/>
        </w:rPr>
        <w:t xml:space="preserve">, </w:t>
      </w:r>
      <w:r w:rsidRPr="006F4D3D">
        <w:rPr>
          <w:rFonts w:ascii="Arial Narrow" w:hAnsi="Arial Narrow" w:cs="Arial"/>
        </w:rPr>
        <w:t>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C62D5C" w:rsidP="00C62D5C">
            <w:pPr>
              <w:ind w:left="360"/>
              <w:jc w:val="both"/>
              <w:rPr>
                <w:rFonts w:ascii="Arial Narrow" w:hAnsi="Arial Narrow" w:cs="Arial"/>
              </w:rPr>
            </w:pPr>
            <w:r>
              <w:rPr>
                <w:rFonts w:ascii="Arial Narrow" w:hAnsi="Arial Narrow" w:cs="Arial"/>
                <w:b/>
              </w:rPr>
              <w:t>18</w:t>
            </w:r>
            <w:r w:rsidR="00545C59">
              <w:rPr>
                <w:rFonts w:ascii="Arial Narrow" w:hAnsi="Arial Narrow" w:cs="Arial"/>
                <w:b/>
              </w:rPr>
              <w:t xml:space="preserve"> de Mayo del </w:t>
            </w:r>
            <w:r w:rsidR="007F5C75">
              <w:rPr>
                <w:rFonts w:ascii="Arial Narrow" w:hAnsi="Arial Narrow" w:cs="Arial"/>
                <w:b/>
              </w:rPr>
              <w:t xml:space="preserve">2016 hasta </w:t>
            </w:r>
            <w:r>
              <w:rPr>
                <w:rFonts w:ascii="Arial Narrow" w:hAnsi="Arial Narrow" w:cs="Arial"/>
                <w:b/>
              </w:rPr>
              <w:t>30</w:t>
            </w:r>
            <w:r w:rsidR="007A56E7">
              <w:rPr>
                <w:rFonts w:ascii="Arial Narrow" w:hAnsi="Arial Narrow" w:cs="Arial"/>
                <w:b/>
              </w:rPr>
              <w:t xml:space="preserve"> de Mayo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059F8">
            <w:pPr>
              <w:ind w:left="360"/>
              <w:contextualSpacing/>
              <w:jc w:val="both"/>
              <w:rPr>
                <w:rFonts w:ascii="Arial Narrow" w:hAnsi="Arial Narrow" w:cs="Arial"/>
              </w:rPr>
            </w:pPr>
            <w:r w:rsidRPr="006F4D3D">
              <w:rPr>
                <w:rFonts w:ascii="Arial Narrow" w:hAnsi="Arial Narrow" w:cs="Arial"/>
              </w:rPr>
              <w:t xml:space="preserve">Hasta </w:t>
            </w:r>
            <w:r w:rsidR="007059F8">
              <w:rPr>
                <w:rFonts w:ascii="Arial Narrow" w:hAnsi="Arial Narrow" w:cs="Arial"/>
                <w:b/>
              </w:rPr>
              <w:t>25</w:t>
            </w:r>
            <w:r>
              <w:rPr>
                <w:rFonts w:ascii="Arial Narrow" w:hAnsi="Arial Narrow" w:cs="Arial"/>
                <w:b/>
              </w:rPr>
              <w:t xml:space="preserve"> de Mayo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7059F8">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7059F8">
              <w:rPr>
                <w:rFonts w:ascii="Arial Narrow" w:hAnsi="Arial Narrow" w:cs="Arial"/>
                <w:b/>
              </w:rPr>
              <w:t>2</w:t>
            </w:r>
            <w:r w:rsidR="007F5C75">
              <w:rPr>
                <w:rFonts w:ascii="Arial Narrow" w:hAnsi="Arial Narrow" w:cs="Arial"/>
                <w:b/>
              </w:rPr>
              <w:t>7</w:t>
            </w:r>
            <w:r>
              <w:rPr>
                <w:rFonts w:ascii="Arial Narrow" w:hAnsi="Arial Narrow" w:cs="Arial"/>
                <w:b/>
              </w:rPr>
              <w:t xml:space="preserve"> de Mayo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7059F8" w:rsidP="00CC696A">
            <w:pPr>
              <w:ind w:left="360"/>
              <w:jc w:val="both"/>
              <w:rPr>
                <w:rFonts w:ascii="Arial Narrow" w:hAnsi="Arial Narrow" w:cs="Arial"/>
                <w:b/>
              </w:rPr>
            </w:pPr>
            <w:r>
              <w:rPr>
                <w:rFonts w:ascii="Arial Narrow" w:hAnsi="Arial Narrow" w:cs="Arial"/>
                <w:b/>
              </w:rPr>
              <w:t>30</w:t>
            </w:r>
            <w:r w:rsidR="007A56E7">
              <w:rPr>
                <w:rFonts w:ascii="Arial Narrow" w:hAnsi="Arial Narrow" w:cs="Arial"/>
                <w:b/>
              </w:rPr>
              <w:t xml:space="preserve"> de Mayo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059F8" w:rsidP="007059F8">
            <w:pPr>
              <w:ind w:left="360"/>
              <w:jc w:val="both"/>
              <w:rPr>
                <w:rFonts w:ascii="Arial Narrow" w:hAnsi="Arial Narrow" w:cs="Arial"/>
              </w:rPr>
            </w:pPr>
            <w:r>
              <w:rPr>
                <w:rFonts w:ascii="Arial Narrow" w:hAnsi="Arial Narrow" w:cs="Arial"/>
                <w:b/>
              </w:rPr>
              <w:t>31</w:t>
            </w:r>
            <w:r w:rsidR="007A56E7">
              <w:rPr>
                <w:rFonts w:ascii="Arial Narrow" w:hAnsi="Arial Narrow" w:cs="Arial"/>
                <w:b/>
              </w:rPr>
              <w:t xml:space="preserve">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059F8" w:rsidP="007059F8">
            <w:pPr>
              <w:ind w:left="360"/>
              <w:jc w:val="both"/>
              <w:rPr>
                <w:rFonts w:ascii="Arial Narrow" w:hAnsi="Arial Narrow" w:cs="Arial"/>
                <w:color w:val="FF0000"/>
              </w:rPr>
            </w:pPr>
            <w:r>
              <w:rPr>
                <w:rFonts w:ascii="Arial Narrow" w:hAnsi="Arial Narrow" w:cs="Arial"/>
                <w:b/>
              </w:rPr>
              <w:t>07</w:t>
            </w:r>
            <w:r w:rsidR="007A56E7">
              <w:rPr>
                <w:rFonts w:ascii="Arial Narrow" w:hAnsi="Arial Narrow" w:cs="Arial"/>
                <w:b/>
              </w:rPr>
              <w:t xml:space="preserve"> de </w:t>
            </w:r>
            <w:r>
              <w:rPr>
                <w:rFonts w:ascii="Arial Narrow" w:hAnsi="Arial Narrow" w:cs="Arial"/>
                <w:b/>
              </w:rPr>
              <w:t>Junio</w:t>
            </w:r>
            <w:r w:rsidR="007A56E7">
              <w:rPr>
                <w:rFonts w:ascii="Arial Narrow" w:hAnsi="Arial Narrow" w:cs="Arial"/>
                <w:b/>
              </w:rPr>
              <w:t xml:space="preserve">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059F8" w:rsidP="007059F8">
            <w:pPr>
              <w:ind w:left="360"/>
              <w:jc w:val="both"/>
              <w:rPr>
                <w:rFonts w:ascii="Arial Narrow" w:hAnsi="Arial Narrow" w:cs="Arial"/>
              </w:rPr>
            </w:pPr>
            <w:r>
              <w:rPr>
                <w:rFonts w:ascii="Arial Narrow" w:hAnsi="Arial Narrow" w:cs="Arial"/>
                <w:b/>
              </w:rPr>
              <w:t>09</w:t>
            </w:r>
            <w:r w:rsidR="007A56E7">
              <w:rPr>
                <w:rFonts w:ascii="Arial Narrow" w:hAnsi="Arial Narrow" w:cs="Arial"/>
                <w:b/>
              </w:rPr>
              <w:t xml:space="preserve">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7059F8">
            <w:pPr>
              <w:ind w:left="360"/>
              <w:jc w:val="both"/>
              <w:rPr>
                <w:rFonts w:ascii="Arial Narrow" w:hAnsi="Arial Narrow" w:cs="Arial"/>
              </w:rPr>
            </w:pPr>
            <w:r>
              <w:rPr>
                <w:rFonts w:ascii="Arial Narrow" w:hAnsi="Arial Narrow" w:cs="Arial"/>
                <w:b/>
              </w:rPr>
              <w:t xml:space="preserve"> </w:t>
            </w:r>
            <w:r w:rsidR="007059F8">
              <w:rPr>
                <w:rFonts w:ascii="Arial Narrow" w:hAnsi="Arial Narrow" w:cs="Arial"/>
                <w:b/>
              </w:rPr>
              <w:t>16</w:t>
            </w:r>
            <w:r>
              <w:rPr>
                <w:rFonts w:ascii="Arial Narrow" w:hAnsi="Arial Narrow" w:cs="Arial"/>
                <w:b/>
              </w:rPr>
              <w:t xml:space="preserve">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059F8" w:rsidP="007059F8">
            <w:pPr>
              <w:ind w:left="360"/>
              <w:jc w:val="both"/>
              <w:rPr>
                <w:rFonts w:ascii="Arial Narrow" w:hAnsi="Arial Narrow" w:cs="Arial"/>
              </w:rPr>
            </w:pPr>
            <w:r>
              <w:rPr>
                <w:rFonts w:ascii="Arial Narrow" w:hAnsi="Arial Narrow" w:cs="Arial"/>
                <w:b/>
              </w:rPr>
              <w:t>22</w:t>
            </w:r>
            <w:r w:rsidR="007A56E7">
              <w:rPr>
                <w:rFonts w:ascii="Arial Narrow" w:hAnsi="Arial Narrow" w:cs="Arial"/>
                <w:b/>
              </w:rPr>
              <w:t xml:space="preserve">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3F7A6F">
            <w:pPr>
              <w:rPr>
                <w:rFonts w:ascii="Arial Narrow" w:hAnsi="Arial Narrow" w:cs="Arial"/>
                <w:color w:val="FF0000"/>
              </w:rPr>
            </w:pPr>
            <w:r>
              <w:rPr>
                <w:rFonts w:ascii="Arial Narrow" w:hAnsi="Arial Narrow" w:cs="Arial"/>
                <w:b/>
              </w:rPr>
              <w:t xml:space="preserve">      </w:t>
            </w:r>
            <w:r w:rsidR="003F7A6F">
              <w:rPr>
                <w:rFonts w:ascii="Arial Narrow" w:hAnsi="Arial Narrow" w:cs="Arial"/>
                <w:b/>
              </w:rPr>
              <w:t>24</w:t>
            </w:r>
            <w:r>
              <w:rPr>
                <w:rFonts w:ascii="Arial Narrow" w:hAnsi="Arial Narrow" w:cs="Arial"/>
                <w:b/>
              </w:rPr>
              <w:t xml:space="preserve"> de Junio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3F7A6F">
            <w:pPr>
              <w:jc w:val="both"/>
              <w:rPr>
                <w:rFonts w:ascii="Arial Narrow" w:hAnsi="Arial Narrow" w:cs="Arial"/>
                <w:color w:val="FF0000"/>
              </w:rPr>
            </w:pPr>
            <w:r>
              <w:rPr>
                <w:rFonts w:ascii="Arial Narrow" w:hAnsi="Arial Narrow" w:cs="Arial"/>
                <w:b/>
              </w:rPr>
              <w:t xml:space="preserve">     </w:t>
            </w:r>
            <w:r w:rsidR="003F7A6F">
              <w:rPr>
                <w:rFonts w:ascii="Arial Narrow" w:hAnsi="Arial Narrow" w:cs="Arial"/>
                <w:b/>
              </w:rPr>
              <w:t>04</w:t>
            </w:r>
            <w:r>
              <w:rPr>
                <w:rFonts w:ascii="Arial Narrow" w:hAnsi="Arial Narrow" w:cs="Arial"/>
                <w:b/>
              </w:rPr>
              <w:t xml:space="preserve"> de Ju</w:t>
            </w:r>
            <w:r w:rsidR="003F7A6F">
              <w:rPr>
                <w:rFonts w:ascii="Arial Narrow" w:hAnsi="Arial Narrow" w:cs="Arial"/>
                <w:b/>
              </w:rPr>
              <w:t>l</w:t>
            </w:r>
            <w:r>
              <w:rPr>
                <w:rFonts w:ascii="Arial Narrow" w:hAnsi="Arial Narrow" w:cs="Arial"/>
                <w:b/>
              </w:rPr>
              <w:t xml:space="preserve">io </w:t>
            </w:r>
            <w:r w:rsidRPr="00537495">
              <w:rPr>
                <w:rFonts w:ascii="Arial Narrow" w:hAnsi="Arial Narrow" w:cs="Arial"/>
                <w:b/>
              </w:rPr>
              <w:t>de 201</w:t>
            </w:r>
            <w:r w:rsidR="003F7A6F">
              <w:rPr>
                <w:rFonts w:ascii="Arial Narrow" w:hAnsi="Arial Narrow" w:cs="Arial"/>
                <w:b/>
              </w:rPr>
              <w:t>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3F7A6F" w:rsidP="003F7A6F">
            <w:pPr>
              <w:ind w:left="360"/>
              <w:jc w:val="both"/>
              <w:rPr>
                <w:rFonts w:ascii="Arial Narrow" w:hAnsi="Arial Narrow" w:cs="Arial"/>
                <w:color w:val="FF0000"/>
              </w:rPr>
            </w:pPr>
            <w:r>
              <w:rPr>
                <w:rFonts w:ascii="Arial Narrow" w:hAnsi="Arial Narrow" w:cs="Arial"/>
                <w:b/>
              </w:rPr>
              <w:t>0</w:t>
            </w:r>
            <w:r w:rsidR="007F5C75">
              <w:rPr>
                <w:rFonts w:ascii="Arial Narrow" w:hAnsi="Arial Narrow" w:cs="Arial"/>
                <w:b/>
              </w:rPr>
              <w:t>7</w:t>
            </w:r>
            <w:r w:rsidR="007A56E7">
              <w:rPr>
                <w:rFonts w:ascii="Arial Narrow" w:hAnsi="Arial Narrow" w:cs="Arial"/>
                <w:b/>
              </w:rPr>
              <w:t xml:space="preserve"> de Ju</w:t>
            </w:r>
            <w:r>
              <w:rPr>
                <w:rFonts w:ascii="Arial Narrow" w:hAnsi="Arial Narrow" w:cs="Arial"/>
                <w:b/>
              </w:rPr>
              <w:t>l</w:t>
            </w:r>
            <w:r w:rsidR="007A56E7">
              <w:rPr>
                <w:rFonts w:ascii="Arial Narrow" w:hAnsi="Arial Narrow" w:cs="Arial"/>
                <w:b/>
              </w:rPr>
              <w:t>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3F7A6F" w:rsidP="003F7A6F">
            <w:pPr>
              <w:ind w:left="360"/>
              <w:jc w:val="both"/>
              <w:rPr>
                <w:rFonts w:ascii="Arial Narrow" w:hAnsi="Arial Narrow" w:cs="Arial"/>
              </w:rPr>
            </w:pPr>
            <w:r>
              <w:rPr>
                <w:rFonts w:ascii="Arial Narrow" w:hAnsi="Arial Narrow" w:cs="Arial"/>
                <w:b/>
              </w:rPr>
              <w:t>14</w:t>
            </w:r>
            <w:r w:rsidR="007A56E7">
              <w:rPr>
                <w:rFonts w:ascii="Arial Narrow" w:hAnsi="Arial Narrow" w:cs="Arial"/>
                <w:b/>
              </w:rPr>
              <w:t xml:space="preserve"> de Ju</w:t>
            </w:r>
            <w:r>
              <w:rPr>
                <w:rFonts w:ascii="Arial Narrow" w:hAnsi="Arial Narrow" w:cs="Arial"/>
                <w:b/>
              </w:rPr>
              <w:t>l</w:t>
            </w:r>
            <w:r w:rsidR="007A56E7">
              <w:rPr>
                <w:rFonts w:ascii="Arial Narrow" w:hAnsi="Arial Narrow" w:cs="Arial"/>
                <w:b/>
              </w:rPr>
              <w:t>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8836"/>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477BFC" w:rsidP="00060AA7">
            <w:pPr>
              <w:jc w:val="center"/>
              <w:rPr>
                <w:b/>
              </w:rPr>
            </w:pPr>
            <w:r>
              <w:rPr>
                <w:b/>
              </w:rPr>
              <w:t>DETALLE</w:t>
            </w:r>
          </w:p>
          <w:p w:rsidR="00403694" w:rsidRDefault="00403694"/>
          <w:tbl>
            <w:tblPr>
              <w:tblW w:w="8400" w:type="dxa"/>
              <w:tblLook w:val="04A0" w:firstRow="1" w:lastRow="0" w:firstColumn="1" w:lastColumn="0" w:noHBand="0" w:noVBand="1"/>
            </w:tblPr>
            <w:tblGrid>
              <w:gridCol w:w="1509"/>
              <w:gridCol w:w="7177"/>
            </w:tblGrid>
            <w:tr w:rsidR="006C4CCA" w:rsidTr="000E5F11">
              <w:trPr>
                <w:trHeight w:val="300"/>
              </w:trPr>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3F7A6F" w:rsidP="004517E6">
                  <w:pPr>
                    <w:jc w:val="center"/>
                    <w:rPr>
                      <w:rFonts w:ascii="Calibri" w:hAnsi="Calibri"/>
                      <w:b/>
                      <w:color w:val="000000"/>
                      <w:sz w:val="22"/>
                      <w:szCs w:val="22"/>
                    </w:rPr>
                  </w:pPr>
                  <w:r w:rsidRPr="004517E6">
                    <w:rPr>
                      <w:rFonts w:ascii="Calibri" w:hAnsi="Calibri"/>
                      <w:b/>
                      <w:color w:val="000000"/>
                      <w:sz w:val="22"/>
                      <w:szCs w:val="22"/>
                    </w:rPr>
                    <w:t>Cantidad</w:t>
                  </w:r>
                </w:p>
              </w:tc>
              <w:tc>
                <w:tcPr>
                  <w:tcW w:w="69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C4CCA" w:rsidRPr="004517E6" w:rsidRDefault="003F7A6F" w:rsidP="004517E6">
                  <w:pPr>
                    <w:jc w:val="center"/>
                    <w:rPr>
                      <w:rFonts w:ascii="Calibri" w:hAnsi="Calibri"/>
                      <w:b/>
                      <w:color w:val="000000"/>
                      <w:sz w:val="22"/>
                      <w:szCs w:val="22"/>
                    </w:rPr>
                  </w:pPr>
                  <w:r w:rsidRPr="004517E6">
                    <w:rPr>
                      <w:rFonts w:ascii="Calibri" w:hAnsi="Calibri"/>
                      <w:b/>
                      <w:color w:val="000000"/>
                      <w:sz w:val="22"/>
                      <w:szCs w:val="22"/>
                    </w:rPr>
                    <w:t>Descripción</w:t>
                  </w:r>
                </w:p>
              </w:tc>
            </w:tr>
            <w:tr w:rsidR="006C4CCA" w:rsidTr="000E5F11">
              <w:trPr>
                <w:trHeight w:val="6925"/>
              </w:trPr>
              <w:tc>
                <w:tcPr>
                  <w:tcW w:w="1426" w:type="dxa"/>
                  <w:tcBorders>
                    <w:top w:val="single" w:sz="4" w:space="0" w:color="auto"/>
                  </w:tcBorders>
                  <w:shd w:val="clear" w:color="auto" w:fill="auto"/>
                  <w:noWrap/>
                  <w:vAlign w:val="bottom"/>
                </w:tcPr>
                <w:tbl>
                  <w:tblPr>
                    <w:tblW w:w="1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tblGrid>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15"/>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45"/>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lastRenderedPageBreak/>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7</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10</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lastRenderedPageBreak/>
                          <w:t>1</w:t>
                        </w:r>
                      </w:p>
                    </w:tc>
                  </w:tr>
                  <w:tr w:rsidR="00477BFC" w:rsidTr="00BF5784">
                    <w:trPr>
                      <w:trHeight w:val="31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643"/>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625"/>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58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1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lastRenderedPageBreak/>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20</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5</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lastRenderedPageBreak/>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3</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6</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1</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8</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4</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r w:rsidR="00477BFC" w:rsidTr="00BF5784">
                    <w:trPr>
                      <w:trHeight w:val="300"/>
                    </w:trPr>
                    <w:tc>
                      <w:tcPr>
                        <w:tcW w:w="1283" w:type="dxa"/>
                        <w:shd w:val="clear" w:color="auto" w:fill="auto"/>
                        <w:noWrap/>
                        <w:vAlign w:val="bottom"/>
                        <w:hideMark/>
                      </w:tcPr>
                      <w:p w:rsidR="00477BFC" w:rsidRDefault="00477BFC">
                        <w:pPr>
                          <w:jc w:val="right"/>
                          <w:rPr>
                            <w:rFonts w:ascii="Calibri" w:hAnsi="Calibri"/>
                            <w:color w:val="000000"/>
                            <w:sz w:val="22"/>
                            <w:szCs w:val="22"/>
                          </w:rPr>
                        </w:pPr>
                        <w:r>
                          <w:rPr>
                            <w:rFonts w:ascii="Calibri" w:hAnsi="Calibri"/>
                            <w:color w:val="000000"/>
                            <w:sz w:val="22"/>
                            <w:szCs w:val="22"/>
                          </w:rPr>
                          <w:t>2</w:t>
                        </w:r>
                      </w:p>
                    </w:tc>
                  </w:tr>
                </w:tbl>
                <w:p w:rsidR="006C4CCA" w:rsidRDefault="006C4CCA">
                  <w:pPr>
                    <w:jc w:val="right"/>
                    <w:rPr>
                      <w:rFonts w:ascii="Calibri" w:hAnsi="Calibri"/>
                      <w:color w:val="000000"/>
                      <w:sz w:val="22"/>
                      <w:szCs w:val="22"/>
                    </w:rPr>
                  </w:pPr>
                </w:p>
              </w:tc>
              <w:tc>
                <w:tcPr>
                  <w:tcW w:w="6974" w:type="dxa"/>
                  <w:tcBorders>
                    <w:top w:val="single" w:sz="4" w:space="0" w:color="auto"/>
                  </w:tcBorders>
                  <w:shd w:val="clear" w:color="auto" w:fill="auto"/>
                  <w:vAlign w:val="bottom"/>
                </w:tcPr>
                <w:tbl>
                  <w:tblPr>
                    <w:tblW w:w="6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tblGrid>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lastRenderedPageBreak/>
                          <w:t>Juego de moldes redondos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moldes cuadrados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moldes para muffin</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moldes para tarticos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taza para medir </w:t>
                        </w:r>
                        <w:r w:rsidR="004A2066">
                          <w:rPr>
                            <w:rFonts w:ascii="Calibri" w:hAnsi="Calibri"/>
                            <w:color w:val="000000"/>
                            <w:sz w:val="22"/>
                            <w:szCs w:val="22"/>
                          </w:rPr>
                          <w:t>líquidos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taza para medir solidos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cuchara para medir</w:t>
                        </w:r>
                      </w:p>
                    </w:tc>
                  </w:tr>
                  <w:tr w:rsidR="001B7AFF" w:rsidTr="00BF5784">
                    <w:trPr>
                      <w:trHeight w:val="315"/>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Juego de</w:t>
                        </w:r>
                        <w:r w:rsidR="004A2066">
                          <w:rPr>
                            <w:rFonts w:ascii="Calibri" w:hAnsi="Calibri"/>
                            <w:color w:val="000000"/>
                            <w:sz w:val="22"/>
                            <w:szCs w:val="22"/>
                          </w:rPr>
                          <w:t xml:space="preserve"> </w:t>
                        </w:r>
                        <w:r>
                          <w:rPr>
                            <w:rFonts w:ascii="Calibri" w:hAnsi="Calibri"/>
                            <w:color w:val="000000"/>
                            <w:sz w:val="22"/>
                            <w:szCs w:val="22"/>
                          </w:rPr>
                          <w:t xml:space="preserve">boquilla (diferentes </w:t>
                        </w:r>
                        <w:r w:rsidR="004A2066">
                          <w:rPr>
                            <w:rFonts w:ascii="Calibri" w:hAnsi="Calibri"/>
                            <w:color w:val="000000"/>
                            <w:sz w:val="22"/>
                            <w:szCs w:val="22"/>
                          </w:rPr>
                          <w:t>números</w:t>
                        </w:r>
                        <w:r>
                          <w:rPr>
                            <w:rFonts w:ascii="Calibri" w:hAnsi="Calibri"/>
                            <w:color w:val="000000"/>
                            <w:sz w:val="22"/>
                            <w:szCs w:val="22"/>
                          </w:rPr>
                          <w:t>)</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cuchara de madera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salten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ollas con tapa</w:t>
                        </w:r>
                      </w:p>
                    </w:tc>
                  </w:tr>
                  <w:tr w:rsidR="001B7AFF" w:rsidTr="00BF5784">
                    <w:trPr>
                      <w:trHeight w:val="345"/>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Juego de</w:t>
                        </w:r>
                        <w:r w:rsidR="004A2066">
                          <w:rPr>
                            <w:rFonts w:ascii="Calibri" w:hAnsi="Calibri"/>
                            <w:color w:val="000000"/>
                            <w:sz w:val="22"/>
                            <w:szCs w:val="22"/>
                          </w:rPr>
                          <w:t xml:space="preserve"> </w:t>
                        </w:r>
                        <w:r>
                          <w:rPr>
                            <w:rFonts w:ascii="Calibri" w:hAnsi="Calibri"/>
                            <w:color w:val="000000"/>
                            <w:sz w:val="22"/>
                            <w:szCs w:val="22"/>
                          </w:rPr>
                          <w:t>bandejas para preparar galletas y brazos gitano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 de Bol</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Exprimidores de </w:t>
                        </w:r>
                        <w:r w:rsidR="004A2066">
                          <w:rPr>
                            <w:rFonts w:ascii="Calibri" w:hAnsi="Calibri"/>
                            <w:color w:val="000000"/>
                            <w:sz w:val="22"/>
                            <w:szCs w:val="22"/>
                          </w:rPr>
                          <w:t>naranjas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Procesador de alimentos</w:t>
                        </w:r>
                      </w:p>
                    </w:tc>
                  </w:tr>
                  <w:tr w:rsidR="001B7AFF" w:rsidTr="00BF5784">
                    <w:trPr>
                      <w:trHeight w:val="300"/>
                    </w:trPr>
                    <w:tc>
                      <w:tcPr>
                        <w:tcW w:w="6951" w:type="dxa"/>
                        <w:shd w:val="clear" w:color="auto" w:fill="auto"/>
                        <w:noWrap/>
                        <w:vAlign w:val="bottom"/>
                        <w:hideMark/>
                      </w:tcPr>
                      <w:p w:rsidR="001B7AFF" w:rsidRDefault="004A2066">
                        <w:pPr>
                          <w:rPr>
                            <w:rFonts w:ascii="Calibri" w:hAnsi="Calibri"/>
                            <w:color w:val="000000"/>
                            <w:sz w:val="22"/>
                            <w:szCs w:val="22"/>
                          </w:rPr>
                        </w:pPr>
                        <w:r>
                          <w:rPr>
                            <w:rFonts w:ascii="Calibri" w:hAnsi="Calibri"/>
                            <w:color w:val="000000"/>
                            <w:sz w:val="22"/>
                            <w:szCs w:val="22"/>
                          </w:rPr>
                          <w:t>Máquina</w:t>
                        </w:r>
                        <w:r w:rsidR="001B7AFF">
                          <w:rPr>
                            <w:rFonts w:ascii="Calibri" w:hAnsi="Calibri"/>
                            <w:color w:val="000000"/>
                            <w:sz w:val="22"/>
                            <w:szCs w:val="22"/>
                          </w:rPr>
                          <w:t xml:space="preserve"> para pastelito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w:t>
                        </w:r>
                        <w:r w:rsidR="004A2066">
                          <w:rPr>
                            <w:rFonts w:ascii="Calibri" w:hAnsi="Calibri"/>
                            <w:color w:val="000000"/>
                            <w:sz w:val="22"/>
                            <w:szCs w:val="22"/>
                          </w:rPr>
                          <w:t>espátula</w:t>
                        </w:r>
                        <w:r>
                          <w:rPr>
                            <w:rFonts w:ascii="Calibri" w:hAnsi="Calibri"/>
                            <w:color w:val="000000"/>
                            <w:sz w:val="22"/>
                            <w:szCs w:val="22"/>
                          </w:rPr>
                          <w:t xml:space="preserve"> de goma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cortadores para pastelitos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w:t>
                        </w:r>
                        <w:r w:rsidR="004A2066">
                          <w:rPr>
                            <w:rFonts w:ascii="Calibri" w:hAnsi="Calibri"/>
                            <w:color w:val="000000"/>
                            <w:sz w:val="22"/>
                            <w:szCs w:val="22"/>
                          </w:rPr>
                          <w:t>espátula</w:t>
                        </w:r>
                        <w:r>
                          <w:rPr>
                            <w:rFonts w:ascii="Calibri" w:hAnsi="Calibri"/>
                            <w:color w:val="000000"/>
                            <w:sz w:val="22"/>
                            <w:szCs w:val="22"/>
                          </w:rPr>
                          <w:t xml:space="preserve"> en metal  (para lustrar)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Peso en gramos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Bandejas para pizza (diferentes  tamaños)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Juego de boquillas </w:t>
                        </w:r>
                      </w:p>
                    </w:tc>
                  </w:tr>
                  <w:tr w:rsidR="001B7AFF" w:rsidTr="00BF5784">
                    <w:trPr>
                      <w:trHeight w:val="300"/>
                    </w:trPr>
                    <w:tc>
                      <w:tcPr>
                        <w:tcW w:w="6951" w:type="dxa"/>
                        <w:shd w:val="clear" w:color="auto" w:fill="auto"/>
                        <w:noWrap/>
                        <w:vAlign w:val="bottom"/>
                        <w:hideMark/>
                      </w:tcPr>
                      <w:p w:rsidR="001B7AFF" w:rsidRDefault="004A2066">
                        <w:pPr>
                          <w:rPr>
                            <w:rFonts w:ascii="Calibri" w:hAnsi="Calibri"/>
                            <w:color w:val="000000"/>
                            <w:sz w:val="22"/>
                            <w:szCs w:val="22"/>
                          </w:rPr>
                        </w:pPr>
                        <w:r>
                          <w:rPr>
                            <w:rFonts w:ascii="Calibri" w:hAnsi="Calibri"/>
                            <w:color w:val="000000"/>
                            <w:sz w:val="22"/>
                            <w:szCs w:val="22"/>
                          </w:rPr>
                          <w:t>Máquina</w:t>
                        </w:r>
                        <w:r w:rsidR="001B7AFF">
                          <w:rPr>
                            <w:rFonts w:ascii="Calibri" w:hAnsi="Calibri"/>
                            <w:color w:val="000000"/>
                            <w:sz w:val="22"/>
                            <w:szCs w:val="22"/>
                          </w:rPr>
                          <w:t xml:space="preserve"> para moler carne</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Tabla para picar alimentos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Tabla para picar carnes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lastRenderedPageBreak/>
                          <w:t>Braceras con tapas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Marmita con tapa de fabricación industrial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Medidor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Pinzas de cocina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Rejillas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Moldes de biscuit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Cazuela de barro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Espátula de goma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Paellera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Aplanadora de carne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Aros de tarta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Cucharas parisien</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Cuchillos descamador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Exprimidor de ajo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Pelador de papa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Seguetas completas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Wiper (batidora de mano)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Acanalador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Agujas de brindar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Tijeras para cocinar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Platones blancos para montaje</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Máquina de rayar vegetales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Máquina de rayar carne</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Salamandra para gratinar alimentos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Balanza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Bandeja de aluminio pequeño no.10</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Boquilla rizadas grandes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Cepillo grande para pastelería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Molde de corona No.9</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Molde para panque no.3</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Cuchara de madera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Moldes para tarticos no.3</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Moldes de bisagra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Batidora de mano grande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Pinceles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Extractor para sacar calor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Mechadora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Cuchillo Eléctrico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Carro Porta bandeja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Estufa eléctrica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Nevara Ejecutiva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lastRenderedPageBreak/>
                          <w:t>Cafetera eléctrica</w:t>
                        </w:r>
                      </w:p>
                    </w:tc>
                  </w:tr>
                  <w:tr w:rsidR="001B7AFF" w:rsidTr="00BF5784">
                    <w:trPr>
                      <w:trHeight w:val="31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Docena de plato, vaso, cuchara, Cubierto , Cuchillo de mesa, </w:t>
                        </w:r>
                        <w:r w:rsidR="00477BFC">
                          <w:rPr>
                            <w:rFonts w:ascii="Calibri" w:hAnsi="Calibri"/>
                            <w:color w:val="000000"/>
                            <w:sz w:val="22"/>
                            <w:szCs w:val="22"/>
                          </w:rPr>
                          <w:t>taza</w:t>
                        </w:r>
                        <w:r>
                          <w:rPr>
                            <w:rFonts w:ascii="Calibri" w:hAnsi="Calibri"/>
                            <w:color w:val="000000"/>
                            <w:sz w:val="22"/>
                            <w:szCs w:val="22"/>
                          </w:rPr>
                          <w:t xml:space="preserve"> de café</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Cuchillo de corte diferente tamaño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Termo para café</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Bandeja de Acero Mediana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Reloj de pared</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Licuadora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Batidora para hacer biscocho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Sartenes medianos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Escurridores de lozas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Tazas de medir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Juegos de cuchara de medir</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Cacerolas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Ralladores manuales de 4 caras </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 xml:space="preserve">Abrelatas </w:t>
                        </w:r>
                      </w:p>
                    </w:tc>
                  </w:tr>
                  <w:tr w:rsidR="001B7AFF" w:rsidTr="00BF5784">
                    <w:trPr>
                      <w:trHeight w:val="643"/>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Juego de Cuchillo completo  (Golpe no.28,trinchero,jamonero,medio golpe, deshuesado descamador, ect)</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Organizador de cuchillos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Tablas de trabajo</w:t>
                        </w:r>
                      </w:p>
                    </w:tc>
                  </w:tr>
                  <w:tr w:rsidR="001B7AFF" w:rsidTr="00BF5784">
                    <w:trPr>
                      <w:trHeight w:val="625"/>
                    </w:trPr>
                    <w:tc>
                      <w:tcPr>
                        <w:tcW w:w="6951" w:type="dxa"/>
                        <w:shd w:val="clear" w:color="auto" w:fill="auto"/>
                        <w:vAlign w:val="bottom"/>
                        <w:hideMark/>
                      </w:tcPr>
                      <w:p w:rsidR="001B7AFF" w:rsidRDefault="001B7AFF" w:rsidP="00BF5784">
                        <w:pPr>
                          <w:rPr>
                            <w:rFonts w:ascii="Calibri" w:hAnsi="Calibri"/>
                            <w:color w:val="000000"/>
                            <w:sz w:val="22"/>
                            <w:szCs w:val="22"/>
                          </w:rPr>
                        </w:pPr>
                        <w:r>
                          <w:rPr>
                            <w:rFonts w:ascii="Calibri" w:hAnsi="Calibri"/>
                            <w:color w:val="000000"/>
                            <w:sz w:val="22"/>
                            <w:szCs w:val="22"/>
                          </w:rPr>
                          <w:t>Juego de cuchara de cocinar (Cucharon mango corto ,cucharon mango largo ,cucharon perforadora, cucharon ranurada, cucharon para caldos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Freidora</w:t>
                        </w:r>
                      </w:p>
                    </w:tc>
                  </w:tr>
                  <w:tr w:rsidR="001B7AFF" w:rsidTr="00BF5784">
                    <w:trPr>
                      <w:trHeight w:val="58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Juegos Recipientes plásticos para insumos de tres tamaños (grandes, mediano y pequeño)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Termómetros de cocina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Cernidor grande</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Exprimidores de limones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Pasa puré</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Coladores Finos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Corta huevos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cuadrados grandes</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Juegos de boll de tres tamaños</w:t>
                        </w:r>
                      </w:p>
                    </w:tc>
                  </w:tr>
                  <w:tr w:rsidR="001B7AFF" w:rsidTr="00BF5784">
                    <w:trPr>
                      <w:trHeight w:val="31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Juegos de calderos de dos tamaños (Grande y mediano)</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Moldes para pan pequeños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Corona  para kimbo No.6</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Cortadores de Mesas  (repostería)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Brochas pequeña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Brochas grandes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Lengüetas de goma</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t>Cortadores circulares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para pie</w:t>
                        </w:r>
                      </w:p>
                    </w:tc>
                  </w:tr>
                  <w:tr w:rsidR="001B7AFF" w:rsidTr="00BF5784">
                    <w:trPr>
                      <w:trHeight w:val="300"/>
                    </w:trPr>
                    <w:tc>
                      <w:tcPr>
                        <w:tcW w:w="6951" w:type="dxa"/>
                        <w:shd w:val="clear" w:color="auto" w:fill="auto"/>
                        <w:noWrap/>
                        <w:vAlign w:val="bottom"/>
                        <w:hideMark/>
                      </w:tcPr>
                      <w:p w:rsidR="001B7AFF" w:rsidRDefault="001B7AFF">
                        <w:pPr>
                          <w:rPr>
                            <w:rFonts w:ascii="Calibri" w:hAnsi="Calibri"/>
                            <w:color w:val="000000"/>
                            <w:sz w:val="22"/>
                            <w:szCs w:val="22"/>
                          </w:rPr>
                        </w:pPr>
                        <w:r>
                          <w:rPr>
                            <w:rFonts w:ascii="Calibri" w:hAnsi="Calibri"/>
                            <w:color w:val="000000"/>
                            <w:sz w:val="22"/>
                            <w:szCs w:val="22"/>
                          </w:rPr>
                          <w:lastRenderedPageBreak/>
                          <w:t xml:space="preserve">Moldes Corona  </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para bizcocho redondo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para bizcocho cuadrado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para bizcocho Corazón</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Bases para bizcocho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Cortadores de Galletas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Moldes para torticos,bizcochuelos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Recipiente plástico para insumo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Tazas.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Cucharas soperas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truches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Tenedores truches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steak</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Tenedores steak</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Cucharitas café</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Tenedores pescado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 pescado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Cuchareas de cremas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Cucharitas café expreso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Copas Universales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Copas Cocteles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Copas martini</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Vasos higli ball</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Vasos collins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Garrafas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Descantadores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Vasos de shoot</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jamoneros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cebolleros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deshuesadoras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medio golpe</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 Trinchante</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Calderos pequeño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Caldero mediano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Licuadora industrial</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Maquina rayar regular</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Tablas rojas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Tablas verdes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Tablas azules claras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Tablas amarillas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Tablas blancas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lastRenderedPageBreak/>
                          <w:t>Tablas marrones de (polietileno)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Sartenes grandes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Sartenes pequeños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acero grandes (brasileño)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medianos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para filetear</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Cuchillos pequeño (puntillas)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Chaira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Azucarera inoxidable</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Bandeja para servicios ovalada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Cafetera de acero inoxidable con tapa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Copa de helado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Copa para huevo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Plato sopero redondo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Plato caracoles</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Tenedores pequeño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Trinche</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Tapadera para postre o queso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Cenicero</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Dispensador de servilleta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Vinagrera y aceitera</w:t>
                        </w:r>
                      </w:p>
                    </w:tc>
                  </w:tr>
                  <w:tr w:rsidR="001B7AFF" w:rsidTr="00BF5784">
                    <w:trPr>
                      <w:trHeight w:val="300"/>
                    </w:trPr>
                    <w:tc>
                      <w:tcPr>
                        <w:tcW w:w="6951" w:type="dxa"/>
                        <w:shd w:val="clear" w:color="auto" w:fill="auto"/>
                        <w:vAlign w:val="bottom"/>
                        <w:hideMark/>
                      </w:tcPr>
                      <w:p w:rsidR="001B7AFF" w:rsidRDefault="001B7AFF">
                        <w:pPr>
                          <w:rPr>
                            <w:rFonts w:ascii="Calibri" w:hAnsi="Calibri"/>
                            <w:color w:val="000000"/>
                            <w:sz w:val="22"/>
                            <w:szCs w:val="22"/>
                          </w:rPr>
                        </w:pPr>
                        <w:r>
                          <w:rPr>
                            <w:rFonts w:ascii="Calibri" w:hAnsi="Calibri"/>
                            <w:color w:val="000000"/>
                            <w:sz w:val="22"/>
                            <w:szCs w:val="22"/>
                          </w:rPr>
                          <w:t>Salero</w:t>
                        </w:r>
                      </w:p>
                    </w:tc>
                  </w:tr>
                </w:tbl>
                <w:p w:rsidR="006C4CCA" w:rsidRDefault="006C4CCA">
                  <w:pPr>
                    <w:rPr>
                      <w:rFonts w:ascii="Calibri" w:hAnsi="Calibri"/>
                      <w:color w:val="000000"/>
                      <w:sz w:val="22"/>
                      <w:szCs w:val="22"/>
                    </w:rPr>
                  </w:pPr>
                </w:p>
              </w:tc>
            </w:tr>
          </w:tbl>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196258" w:rsidRDefault="00196258" w:rsidP="009B08CF">
      <w:pPr>
        <w:jc w:val="both"/>
        <w:rPr>
          <w:rStyle w:val="Style19"/>
          <w:b w:val="0"/>
          <w:i/>
        </w:rPr>
      </w:pPr>
    </w:p>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lastRenderedPageBreak/>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w:t>
      </w:r>
      <w:r w:rsidR="00683E3D" w:rsidRPr="006F4D3D">
        <w:rPr>
          <w:rFonts w:ascii="Arial Narrow" w:hAnsi="Arial Narrow" w:cs="Arial"/>
        </w:rPr>
        <w:lastRenderedPageBreak/>
        <w:t>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lastRenderedPageBreak/>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xml:space="preserve">, éste último iniciará el Suministro de los Bienes que se requieran mediante el </w:t>
      </w:r>
      <w:r w:rsidRPr="00B616AC">
        <w:rPr>
          <w:rFonts w:ascii="Arial Narrow" w:hAnsi="Arial Narrow" w:cs="Arial"/>
        </w:rPr>
        <w:lastRenderedPageBreak/>
        <w:t>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lastRenderedPageBreak/>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1.22.2, porcentaje de Garantía de Fiel Cumplimiento de Contrato para MIPYMES conforme </w:t>
            </w:r>
            <w:r w:rsidRPr="006F4D3D">
              <w:rPr>
                <w:rFonts w:ascii="Arial Narrow" w:hAnsi="Arial Narrow"/>
              </w:rPr>
              <w:lastRenderedPageBreak/>
              <w:t>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A6" w:rsidRDefault="005B2DA6">
      <w:r>
        <w:separator/>
      </w:r>
    </w:p>
  </w:endnote>
  <w:endnote w:type="continuationSeparator" w:id="0">
    <w:p w:rsidR="005B2DA6" w:rsidRDefault="005B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F" w:rsidRDefault="001B7AF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7AFF" w:rsidRDefault="001B7AF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F" w:rsidRDefault="001B7AFF"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39C">
      <w:rPr>
        <w:rStyle w:val="Nmerodepgina"/>
        <w:noProof/>
      </w:rPr>
      <w:t>47</w:t>
    </w:r>
    <w:r>
      <w:rPr>
        <w:rStyle w:val="Nmerodepgina"/>
      </w:rPr>
      <w:fldChar w:fldCharType="end"/>
    </w:r>
  </w:p>
  <w:p w:rsidR="001B7AFF" w:rsidRPr="00BE0C69" w:rsidRDefault="001B7AFF">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A6" w:rsidRDefault="005B2DA6">
      <w:r>
        <w:separator/>
      </w:r>
    </w:p>
  </w:footnote>
  <w:footnote w:type="continuationSeparator" w:id="0">
    <w:p w:rsidR="005B2DA6" w:rsidRDefault="005B2DA6">
      <w:r>
        <w:continuationSeparator/>
      </w:r>
    </w:p>
  </w:footnote>
  <w:footnote w:id="1">
    <w:p w:rsidR="001B7AFF" w:rsidRPr="00D0458A" w:rsidRDefault="001B7AFF"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1B7AFF" w:rsidRPr="00D0458A" w:rsidRDefault="001B7AFF">
      <w:pPr>
        <w:pStyle w:val="Textonotapie"/>
      </w:pPr>
    </w:p>
  </w:footnote>
  <w:footnote w:id="2">
    <w:p w:rsidR="001B7AFF" w:rsidRPr="002F548E" w:rsidRDefault="001B7AFF"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1B7AFF" w:rsidRPr="003A560B" w:rsidRDefault="001B7AFF">
      <w:pPr>
        <w:pStyle w:val="Textonotapie"/>
        <w:rPr>
          <w:lang w:val="es-ES"/>
        </w:rPr>
      </w:pPr>
    </w:p>
  </w:footnote>
  <w:footnote w:id="3">
    <w:p w:rsidR="001B7AFF" w:rsidRPr="004A4C29" w:rsidRDefault="001B7AFF">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1B7AFF" w:rsidRPr="009A6D78" w:rsidRDefault="001B7AFF">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1B7AFF" w:rsidRPr="003841C8" w:rsidRDefault="001B7AFF"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F" w:rsidRPr="00BE0C69" w:rsidRDefault="001B7AFF"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1B7AFF" w:rsidRDefault="001B7AFF">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0A83"/>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0AA7"/>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39AC"/>
    <w:rsid w:val="000E4EEF"/>
    <w:rsid w:val="000E5160"/>
    <w:rsid w:val="000E5F11"/>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96258"/>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B7AFF"/>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11CA"/>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0D57"/>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3F7A6F"/>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17E6"/>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77BFC"/>
    <w:rsid w:val="00480453"/>
    <w:rsid w:val="004825CC"/>
    <w:rsid w:val="00482BE7"/>
    <w:rsid w:val="0048542A"/>
    <w:rsid w:val="0048588D"/>
    <w:rsid w:val="004860F2"/>
    <w:rsid w:val="004861B1"/>
    <w:rsid w:val="004931AF"/>
    <w:rsid w:val="00494132"/>
    <w:rsid w:val="00494CB6"/>
    <w:rsid w:val="00495972"/>
    <w:rsid w:val="00497A3E"/>
    <w:rsid w:val="004A2066"/>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5C59"/>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2DA6"/>
    <w:rsid w:val="005B3B47"/>
    <w:rsid w:val="005B3DD6"/>
    <w:rsid w:val="005C008C"/>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6DD9"/>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4CCA"/>
    <w:rsid w:val="006C6DF7"/>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59F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5C75"/>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1DE8"/>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3E4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C77C6"/>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5784"/>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2D5C"/>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1F08"/>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0739C"/>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46D"/>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6B7E"/>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2B0"/>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1D41"/>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BA7"/>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998731808">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449620160">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09990345">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D1C6-8272-40D7-BD5A-6D1E926B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14801</Words>
  <Characters>81411</Characters>
  <Application>Microsoft Office Word</Application>
  <DocSecurity>0</DocSecurity>
  <Lines>678</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2019-04-01T18:46:00Z</dcterms:created>
  <dcterms:modified xsi:type="dcterms:W3CDTF">2019-04-01T18:46:00Z</dcterms:modified>
</cp:coreProperties>
</file>