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MS Mincho" w:hAnsiTheme="minorHAnsi" w:cstheme="minorBidi"/>
          <w:color w:val="auto"/>
          <w:spacing w:val="0"/>
          <w:kern w:val="0"/>
          <w:sz w:val="140"/>
          <w:szCs w:val="140"/>
          <w:lang w:eastAsia="en-US"/>
        </w:rPr>
        <w:id w:val="1809815243"/>
        <w:docPartObj>
          <w:docPartGallery w:val="Cover Pages"/>
          <w:docPartUnique/>
        </w:docPartObj>
      </w:sdtPr>
      <w:sdtEndPr>
        <w:rPr>
          <w:b/>
          <w:bCs/>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54"/>
          </w:tblGrid>
          <w:tr w:rsidR="00F252FC" w:rsidTr="00401624">
            <w:tc>
              <w:tcPr>
                <w:tcW w:w="9054" w:type="dxa"/>
              </w:tcPr>
              <w:p w:rsidR="00F252FC" w:rsidRDefault="00DD068E" w:rsidP="00401624">
                <w:pPr>
                  <w:pStyle w:val="Ttulo"/>
                  <w:rPr>
                    <w:sz w:val="140"/>
                    <w:szCs w:val="140"/>
                  </w:rPr>
                </w:pPr>
                <w:sdt>
                  <w:sdtPr>
                    <w:rPr>
                      <w:sz w:val="96"/>
                      <w:szCs w:val="140"/>
                    </w:rPr>
                    <w:alias w:val="Título"/>
                    <w:id w:val="1934172987"/>
                    <w:dataBinding w:prefixMappings="xmlns:ns0='http://schemas.openxmlformats.org/package/2006/metadata/core-properties' xmlns:ns1='http://purl.org/dc/elements/1.1/'" w:xpath="/ns0:coreProperties[1]/ns1:title[1]" w:storeItemID="{6C3C8BC8-F283-45AE-878A-BAB7291924A1}"/>
                    <w:text/>
                  </w:sdtPr>
                  <w:sdtEndPr/>
                  <w:sdtContent>
                    <w:r w:rsidR="0010553C">
                      <w:rPr>
                        <w:sz w:val="96"/>
                        <w:szCs w:val="140"/>
                      </w:rPr>
                      <w:t>Informe de Resultados</w:t>
                    </w:r>
                  </w:sdtContent>
                </w:sdt>
              </w:p>
            </w:tc>
          </w:tr>
          <w:tr w:rsidR="00F252FC">
            <w:tc>
              <w:tcPr>
                <w:tcW w:w="0" w:type="auto"/>
                <w:vAlign w:val="bottom"/>
              </w:tcPr>
              <w:p w:rsidR="00F252FC" w:rsidRPr="00401624" w:rsidRDefault="00DD068E" w:rsidP="00F42C82">
                <w:pPr>
                  <w:pStyle w:val="Subttulo"/>
                  <w:rPr>
                    <w:sz w:val="56"/>
                  </w:rPr>
                </w:pPr>
                <w:sdt>
                  <w:sdtPr>
                    <w:rPr>
                      <w:sz w:val="56"/>
                      <w:szCs w:val="140"/>
                    </w:rPr>
                    <w:alias w:val="Subtítulo"/>
                    <w:id w:val="-899293849"/>
                    <w:dataBinding w:prefixMappings="xmlns:ns0='http://schemas.openxmlformats.org/package/2006/metadata/core-properties' xmlns:ns1='http://purl.org/dc/elements/1.1/'" w:xpath="/ns0:coreProperties[1]/ns1:subject[1]" w:storeItemID="{6C3C8BC8-F283-45AE-878A-BAB7291924A1}"/>
                    <w:text/>
                  </w:sdtPr>
                  <w:sdtEndPr/>
                  <w:sdtContent>
                    <w:r w:rsidR="00D659B9">
                      <w:rPr>
                        <w:sz w:val="56"/>
                        <w:szCs w:val="140"/>
                      </w:rPr>
                      <w:t xml:space="preserve">Trimestre: </w:t>
                    </w:r>
                    <w:r w:rsidR="00EE3BC5">
                      <w:rPr>
                        <w:sz w:val="56"/>
                        <w:szCs w:val="140"/>
                      </w:rPr>
                      <w:t>Jul</w:t>
                    </w:r>
                    <w:r w:rsidR="00F42C82">
                      <w:rPr>
                        <w:sz w:val="56"/>
                        <w:szCs w:val="140"/>
                      </w:rPr>
                      <w:t>io</w:t>
                    </w:r>
                    <w:r w:rsidR="00574275">
                      <w:rPr>
                        <w:sz w:val="56"/>
                        <w:szCs w:val="140"/>
                      </w:rPr>
                      <w:t xml:space="preserve"> – </w:t>
                    </w:r>
                    <w:r w:rsidR="00F42C82">
                      <w:rPr>
                        <w:sz w:val="56"/>
                        <w:szCs w:val="140"/>
                      </w:rPr>
                      <w:t>Septiembre</w:t>
                    </w:r>
                    <w:r w:rsidR="00574275">
                      <w:rPr>
                        <w:sz w:val="56"/>
                        <w:szCs w:val="140"/>
                      </w:rPr>
                      <w:t xml:space="preserve"> 201</w:t>
                    </w:r>
                    <w:r w:rsidR="00AE34A4">
                      <w:rPr>
                        <w:sz w:val="56"/>
                        <w:szCs w:val="140"/>
                      </w:rPr>
                      <w:t>4</w:t>
                    </w:r>
                  </w:sdtContent>
                </w:sdt>
              </w:p>
            </w:tc>
          </w:tr>
          <w:tr w:rsidR="00F252FC">
            <w:trPr>
              <w:trHeight w:val="1152"/>
            </w:trPr>
            <w:tc>
              <w:tcPr>
                <w:tcW w:w="0" w:type="auto"/>
                <w:vAlign w:val="bottom"/>
              </w:tcPr>
              <w:p w:rsidR="00F252FC" w:rsidRDefault="00F252FC" w:rsidP="00401624">
                <w:pPr>
                  <w:rPr>
                    <w:color w:val="000000" w:themeColor="text1"/>
                    <w:sz w:val="24"/>
                    <w:szCs w:val="24"/>
                  </w:rPr>
                </w:pPr>
              </w:p>
            </w:tc>
          </w:tr>
        </w:tbl>
        <w:p w:rsidR="00F252FC" w:rsidRDefault="00D659B9">
          <w:pPr>
            <w:rPr>
              <w:b/>
              <w:bCs/>
            </w:rPr>
          </w:pPr>
          <w:r>
            <w:rPr>
              <w:rFonts w:ascii="Arial" w:hAnsi="Arial" w:cs="Arial"/>
              <w:noProof/>
              <w:sz w:val="24"/>
              <w:lang w:eastAsia="es-DO"/>
            </w:rPr>
            <mc:AlternateContent>
              <mc:Choice Requires="wps">
                <w:drawing>
                  <wp:anchor distT="0" distB="0" distL="114300" distR="114300" simplePos="0" relativeHeight="251681280" behindDoc="0" locked="0" layoutInCell="1" allowOverlap="1">
                    <wp:simplePos x="0" y="0"/>
                    <wp:positionH relativeFrom="column">
                      <wp:posOffset>-3810</wp:posOffset>
                    </wp:positionH>
                    <wp:positionV relativeFrom="paragraph">
                      <wp:posOffset>7731760</wp:posOffset>
                    </wp:positionV>
                    <wp:extent cx="5604510" cy="58102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560451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59B9" w:rsidRPr="00D659B9" w:rsidRDefault="00D659B9" w:rsidP="00D659B9">
                                <w:pPr>
                                  <w:spacing w:after="0"/>
                                  <w:jc w:val="center"/>
                                  <w:rPr>
                                    <w:sz w:val="24"/>
                                  </w:rPr>
                                </w:pPr>
                                <w:r w:rsidRPr="00D659B9">
                                  <w:rPr>
                                    <w:sz w:val="24"/>
                                  </w:rPr>
                                  <w:t>Santo Domingo</w:t>
                                </w:r>
                              </w:p>
                              <w:p w:rsidR="00D659B9" w:rsidRPr="00D659B9" w:rsidRDefault="00D659B9" w:rsidP="00D659B9">
                                <w:pPr>
                                  <w:spacing w:after="0"/>
                                  <w:jc w:val="center"/>
                                  <w:rPr>
                                    <w:sz w:val="24"/>
                                  </w:rPr>
                                </w:pPr>
                                <w:r w:rsidRPr="00D659B9">
                                  <w:rPr>
                                    <w:sz w:val="24"/>
                                  </w:rPr>
                                  <w:t>Octubre 2014</w:t>
                                </w:r>
                              </w:p>
                              <w:p w:rsidR="00D659B9" w:rsidRDefault="00D659B9"/>
                              <w:p w:rsidR="00D659B9" w:rsidRDefault="00D659B9">
                                <w:r>
                                  <w:t>SaSan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3pt;margin-top:608.8pt;width:441.3pt;height:45.7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" fillcolor="white [3201]" stroked="f" strokeweight=".5pt">
                    <v:textbox>
                      <w:txbxContent>
                        <w:p w:rsidR="00D659B9" w:rsidRPr="00D659B9" w:rsidRDefault="00D659B9" w:rsidP="00D659B9">
                          <w:pPr>
                            <w:spacing w:after="0"/>
                            <w:jc w:val="center"/>
                            <w:rPr>
                              <w:sz w:val="24"/>
                            </w:rPr>
                          </w:pPr>
                          <w:r w:rsidRPr="00D659B9">
                            <w:rPr>
                              <w:sz w:val="24"/>
                            </w:rPr>
                            <w:t>Santo Domingo</w:t>
                          </w:r>
                        </w:p>
                        <w:p w:rsidR="00D659B9" w:rsidRPr="00D659B9" w:rsidRDefault="00D659B9" w:rsidP="00D659B9">
                          <w:pPr>
                            <w:spacing w:after="0"/>
                            <w:jc w:val="center"/>
                            <w:rPr>
                              <w:sz w:val="24"/>
                            </w:rPr>
                          </w:pPr>
                          <w:r w:rsidRPr="00D659B9">
                            <w:rPr>
                              <w:sz w:val="24"/>
                            </w:rPr>
                            <w:t>Octubre 2014</w:t>
                          </w:r>
                        </w:p>
                        <w:p w:rsidR="00D659B9" w:rsidRDefault="00D659B9"/>
                        <w:p w:rsidR="00D659B9" w:rsidRDefault="00D659B9">
                          <w:proofErr w:type="spellStart"/>
                          <w:r>
                            <w:t>SaSan</w:t>
                          </w:r>
                          <w:proofErr w:type="spellEnd"/>
                        </w:p>
                      </w:txbxContent>
                    </v:textbox>
                  </v:shape>
                </w:pict>
              </mc:Fallback>
            </mc:AlternateContent>
          </w:r>
          <w:r w:rsidR="00401624">
            <w:rPr>
              <w:rFonts w:ascii="Arial" w:hAnsi="Arial" w:cs="Arial"/>
              <w:noProof/>
              <w:sz w:val="24"/>
              <w:lang w:eastAsia="es-DO"/>
            </w:rPr>
            <w:drawing>
              <wp:anchor distT="0" distB="0" distL="114300" distR="114300" simplePos="0" relativeHeight="251662848" behindDoc="1" locked="0" layoutInCell="1" allowOverlap="1" wp14:anchorId="50CC7E5B" wp14:editId="50184632">
                <wp:simplePos x="0" y="0"/>
                <wp:positionH relativeFrom="column">
                  <wp:posOffset>-555625</wp:posOffset>
                </wp:positionH>
                <wp:positionV relativeFrom="paragraph">
                  <wp:posOffset>-217170</wp:posOffset>
                </wp:positionV>
                <wp:extent cx="1707515" cy="1347470"/>
                <wp:effectExtent l="0" t="0" r="6985"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1347470"/>
                        </a:xfrm>
                        <a:prstGeom prst="rect">
                          <a:avLst/>
                        </a:prstGeom>
                        <a:noFill/>
                      </pic:spPr>
                    </pic:pic>
                  </a:graphicData>
                </a:graphic>
              </wp:anchor>
            </w:drawing>
          </w:r>
          <w:r w:rsidR="00401624">
            <w:rPr>
              <w:noProof/>
              <w:lang w:eastAsia="es-DO"/>
            </w:rPr>
            <w:drawing>
              <wp:anchor distT="0" distB="0" distL="114300" distR="114300" simplePos="0" relativeHeight="251660800" behindDoc="1" locked="0" layoutInCell="1" allowOverlap="1" wp14:anchorId="4E49BD89" wp14:editId="7DF914A5">
                <wp:simplePos x="0" y="0"/>
                <wp:positionH relativeFrom="column">
                  <wp:posOffset>2603911</wp:posOffset>
                </wp:positionH>
                <wp:positionV relativeFrom="paragraph">
                  <wp:posOffset>38063</wp:posOffset>
                </wp:positionV>
                <wp:extent cx="3300730" cy="91440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cepresidencia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0730" cy="914400"/>
                        </a:xfrm>
                        <a:prstGeom prst="rect">
                          <a:avLst/>
                        </a:prstGeom>
                      </pic:spPr>
                    </pic:pic>
                  </a:graphicData>
                </a:graphic>
              </wp:anchor>
            </w:drawing>
          </w:r>
          <w:r w:rsidR="0001455D">
            <w:rPr>
              <w:noProof/>
              <w:lang w:eastAsia="es-DO"/>
            </w:rPr>
            <mc:AlternateContent>
              <mc:Choice Requires="wps">
                <w:drawing>
                  <wp:anchor distT="0" distB="0" distL="114300" distR="114300" simplePos="0" relativeHeight="251653632" behindDoc="1" locked="0" layoutInCell="1" allowOverlap="1" wp14:anchorId="579A0303" wp14:editId="4A727AB5">
                    <wp:simplePos x="0" y="0"/>
                    <wp:positionH relativeFrom="page">
                      <wp:posOffset>53975</wp:posOffset>
                    </wp:positionH>
                    <wp:positionV relativeFrom="page">
                      <wp:posOffset>3241040</wp:posOffset>
                    </wp:positionV>
                    <wp:extent cx="7045960" cy="1654175"/>
                    <wp:effectExtent l="0" t="0" r="2540" b="317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5960" cy="1654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ángulo 54" o:spid="_x0000_s1026" style="position:absolute;margin-left:4.25pt;margin-top:255.2pt;width:554.8pt;height:13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" fillcolor="#4f81bd [3204]" stroked="f" strokeweight="2pt">
                    <v:path arrowok="t"/>
                    <w10:wrap anchorx="page" anchory="page"/>
                  </v:rect>
                </w:pict>
              </mc:Fallback>
            </mc:AlternateContent>
          </w:r>
          <w:r w:rsidR="0001455D">
            <w:rPr>
              <w:noProof/>
              <w:lang w:eastAsia="es-DO"/>
            </w:rPr>
            <mc:AlternateContent>
              <mc:Choice Requires="wps">
                <w:drawing>
                  <wp:anchor distT="0" distB="0" distL="114300" distR="114300" simplePos="0" relativeHeight="251658752" behindDoc="0" locked="0" layoutInCell="1" allowOverlap="1" wp14:anchorId="24DA4BD2" wp14:editId="659B7780">
                    <wp:simplePos x="0" y="0"/>
                    <wp:positionH relativeFrom="margin">
                      <wp:align>center</wp:align>
                    </wp:positionH>
                    <wp:positionV relativeFrom="margin">
                      <wp:align>bottom</wp:align>
                    </wp:positionV>
                    <wp:extent cx="5612130" cy="36195"/>
                    <wp:effectExtent l="0" t="0" r="7620" b="190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ángulo 55" o:spid="_x0000_s1026" style="position:absolute;margin-left:0;margin-top:0;width:441.9pt;height:2.85pt;z-index:251658752;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" fillcolor="#4f81bd [3204]" stroked="f" strokeweight="2pt">
                    <v:path arrowok="t"/>
                    <w10:wrap anchorx="margin" anchory="margin"/>
                  </v:rect>
                </w:pict>
              </mc:Fallback>
            </mc:AlternateContent>
          </w:r>
          <w:r w:rsidR="00F252FC">
            <w:rPr>
              <w:b/>
              <w:bCs/>
            </w:rPr>
            <w:br w:type="page"/>
          </w:r>
        </w:p>
      </w:sdtContent>
    </w:sdt>
    <w:p w:rsidR="008F7689" w:rsidRPr="008F7689" w:rsidRDefault="008F7689" w:rsidP="008F7689">
      <w:pPr>
        <w:rPr>
          <w:b/>
          <w:bCs/>
        </w:rPr>
      </w:pPr>
      <w:r w:rsidRPr="008F7689">
        <w:rPr>
          <w:b/>
          <w:bCs/>
        </w:rPr>
        <w:lastRenderedPageBreak/>
        <w:t>INTRODUCCION</w:t>
      </w:r>
    </w:p>
    <w:p w:rsidR="008F7689" w:rsidRPr="008F7689" w:rsidRDefault="008F7689" w:rsidP="008F7689">
      <w:pPr>
        <w:jc w:val="both"/>
        <w:rPr>
          <w:bCs/>
        </w:rPr>
      </w:pPr>
      <w:r w:rsidRPr="008F7689">
        <w:rPr>
          <w:bCs/>
        </w:rPr>
        <w:t xml:space="preserve">El presente documento presenta los resultados obtenidos en el Trimestre </w:t>
      </w:r>
      <w:r w:rsidR="00EE3BC5">
        <w:rPr>
          <w:bCs/>
        </w:rPr>
        <w:t>Jul</w:t>
      </w:r>
      <w:r w:rsidR="00A42769">
        <w:rPr>
          <w:bCs/>
        </w:rPr>
        <w:t>io</w:t>
      </w:r>
      <w:r w:rsidR="00E217C6">
        <w:rPr>
          <w:bCs/>
        </w:rPr>
        <w:t>-</w:t>
      </w:r>
      <w:r w:rsidR="00A42769">
        <w:rPr>
          <w:bCs/>
        </w:rPr>
        <w:t>Septiembre</w:t>
      </w:r>
      <w:r w:rsidR="00574275">
        <w:rPr>
          <w:bCs/>
        </w:rPr>
        <w:t xml:space="preserve"> del 201</w:t>
      </w:r>
      <w:r w:rsidR="00E217C6">
        <w:rPr>
          <w:bCs/>
        </w:rPr>
        <w:t>4</w:t>
      </w:r>
      <w:r w:rsidR="00574275">
        <w:rPr>
          <w:bCs/>
        </w:rPr>
        <w:t xml:space="preserve"> ejecutado</w:t>
      </w:r>
      <w:r w:rsidRPr="008F7689">
        <w:rPr>
          <w:bCs/>
        </w:rPr>
        <w:t>s por las distintas áreas operativas y de apoyo de Progresando con Solidaridad.  Las acciones realizadas tuvieron como marco de referencia el Plan Operativo Anual (POA) durante el periodo anteriormente citado.</w:t>
      </w:r>
    </w:p>
    <w:p w:rsidR="008F7689" w:rsidRPr="008F7689" w:rsidRDefault="008F7689" w:rsidP="008F7689">
      <w:pPr>
        <w:jc w:val="both"/>
        <w:rPr>
          <w:bCs/>
        </w:rPr>
      </w:pPr>
      <w:r w:rsidRPr="008F7689">
        <w:rPr>
          <w:bCs/>
        </w:rPr>
        <w:t xml:space="preserve">Este reporte </w:t>
      </w:r>
      <w:r w:rsidR="00FE77F6">
        <w:rPr>
          <w:bCs/>
        </w:rPr>
        <w:t>ha sido</w:t>
      </w:r>
      <w:r w:rsidRPr="008F7689">
        <w:rPr>
          <w:bCs/>
        </w:rPr>
        <w:t xml:space="preserve"> desarrollado en base a las informaciones del Sistema de Información Progresando con Solidaridad (SIPPS) así como por los informes remitidos por cada uno de los Directores, Encargados de área y Directores Regionales, la cual fue consolidada por la Dirección de Planificación.</w:t>
      </w:r>
    </w:p>
    <w:p w:rsidR="008F7689" w:rsidRPr="008F7689" w:rsidRDefault="008F7689" w:rsidP="008F7689">
      <w:pPr>
        <w:jc w:val="both"/>
        <w:rPr>
          <w:bCs/>
        </w:rPr>
      </w:pPr>
      <w:r w:rsidRPr="008F7689">
        <w:rPr>
          <w:bCs/>
        </w:rPr>
        <w:t xml:space="preserve">La ejecución del </w:t>
      </w:r>
      <w:r w:rsidR="00D236C8">
        <w:rPr>
          <w:bCs/>
        </w:rPr>
        <w:t>POA</w:t>
      </w:r>
      <w:r w:rsidRPr="008F7689">
        <w:rPr>
          <w:bCs/>
        </w:rPr>
        <w:t xml:space="preserve"> ha</w:t>
      </w:r>
      <w:r w:rsidR="00D236C8">
        <w:rPr>
          <w:bCs/>
        </w:rPr>
        <w:t xml:space="preserve"> sido</w:t>
      </w:r>
      <w:r w:rsidRPr="008F7689">
        <w:rPr>
          <w:bCs/>
        </w:rPr>
        <w:t xml:space="preserve"> realizad</w:t>
      </w:r>
      <w:r w:rsidR="00D236C8">
        <w:rPr>
          <w:bCs/>
        </w:rPr>
        <w:t>a</w:t>
      </w:r>
      <w:r w:rsidRPr="008F7689">
        <w:rPr>
          <w:bCs/>
        </w:rPr>
        <w:t xml:space="preserve"> en función de los objetivos institucionales, tomando como fundamento las tareas y actividades principales ejecutadas por cada una de las Direcciones y Departamentos de Progresando con Solidaridad, estas actividades están alineadas a los Ejes Estratégicos definidos: "Mitigar la pobreza y Aumentar el Bienestar de las familias pobres de la República Dominicana" y "Fortalecimiento Institucional";  a través de los componentes: Transferencia, Acompañamiento Socio-Educativo, Identificación, Educación, Salud Integral, Seguridad Alimentaria y Generación de Ingresos, Formación Humana y Conciencia Ciudadana, Habitabilidad y Protección del Medio Ambiente, Acceso a la Tecnología de la Información y la Capacitación y Fortalecimiento Institucional de Progresando con Solidaridad, de igual forma que las acciones ejecutadas por las Direcciones Regionales.</w:t>
      </w:r>
    </w:p>
    <w:p w:rsidR="008F7689" w:rsidRPr="008F7689" w:rsidRDefault="008F7689" w:rsidP="008F7689">
      <w:pPr>
        <w:jc w:val="both"/>
        <w:rPr>
          <w:bCs/>
        </w:rPr>
      </w:pPr>
      <w:r w:rsidRPr="008F7689">
        <w:rPr>
          <w:bCs/>
        </w:rPr>
        <w:t xml:space="preserve">Entre los principales resultados alcanzados en el trimestre </w:t>
      </w:r>
      <w:r w:rsidR="002447FA">
        <w:rPr>
          <w:bCs/>
        </w:rPr>
        <w:t>Jul</w:t>
      </w:r>
      <w:r w:rsidR="0008580E">
        <w:rPr>
          <w:bCs/>
        </w:rPr>
        <w:t>io</w:t>
      </w:r>
      <w:r w:rsidR="00507C56">
        <w:rPr>
          <w:bCs/>
        </w:rPr>
        <w:t>-</w:t>
      </w:r>
      <w:r w:rsidR="0008580E">
        <w:rPr>
          <w:bCs/>
        </w:rPr>
        <w:t>Septiembre</w:t>
      </w:r>
      <w:r w:rsidR="00507C56">
        <w:rPr>
          <w:bCs/>
        </w:rPr>
        <w:t xml:space="preserve"> 2014</w:t>
      </w:r>
      <w:r w:rsidRPr="008F7689">
        <w:rPr>
          <w:bCs/>
        </w:rPr>
        <w:t xml:space="preserve"> se encuentran:</w:t>
      </w:r>
    </w:p>
    <w:p w:rsidR="00EE3BC5" w:rsidRDefault="00EE3BC5" w:rsidP="00B515C8">
      <w:pPr>
        <w:pStyle w:val="Prrafodelista"/>
        <w:numPr>
          <w:ilvl w:val="0"/>
          <w:numId w:val="22"/>
        </w:numPr>
        <w:spacing w:after="0"/>
        <w:jc w:val="both"/>
        <w:rPr>
          <w:bCs/>
        </w:rPr>
      </w:pPr>
      <w:r w:rsidRPr="00EE3BC5">
        <w:rPr>
          <w:bCs/>
        </w:rPr>
        <w:t>Fueron entregadas 21,952 cartas de compromiso para los operativos de entrega de tarjetas en el mes de octubre.</w:t>
      </w:r>
    </w:p>
    <w:p w:rsidR="00412A46" w:rsidRDefault="00412A46" w:rsidP="00412A46">
      <w:pPr>
        <w:pStyle w:val="Prrafodelista"/>
        <w:spacing w:after="0"/>
        <w:jc w:val="both"/>
        <w:rPr>
          <w:bCs/>
        </w:rPr>
      </w:pPr>
    </w:p>
    <w:p w:rsidR="008F7689" w:rsidRDefault="00B95BCC" w:rsidP="00EE3BC5">
      <w:pPr>
        <w:pStyle w:val="Prrafodelista"/>
        <w:numPr>
          <w:ilvl w:val="0"/>
          <w:numId w:val="22"/>
        </w:numPr>
        <w:spacing w:after="0"/>
        <w:jc w:val="both"/>
        <w:rPr>
          <w:bCs/>
        </w:rPr>
      </w:pPr>
      <w:r>
        <w:rPr>
          <w:bCs/>
        </w:rPr>
        <w:t xml:space="preserve">417,134 </w:t>
      </w:r>
      <w:r w:rsidR="008F7689" w:rsidRPr="00EE3BC5">
        <w:rPr>
          <w:bCs/>
        </w:rPr>
        <w:t xml:space="preserve">familias beneficiarias </w:t>
      </w:r>
      <w:r w:rsidR="00507C56" w:rsidRPr="00EE3BC5">
        <w:rPr>
          <w:bCs/>
        </w:rPr>
        <w:t xml:space="preserve">fueron </w:t>
      </w:r>
      <w:r>
        <w:rPr>
          <w:bCs/>
        </w:rPr>
        <w:t xml:space="preserve">visitadas y orientadas sobre: Importancia de la Educación en los miembros de la familia en el mes de julio. </w:t>
      </w:r>
    </w:p>
    <w:p w:rsidR="00412A46" w:rsidRPr="00412A46" w:rsidRDefault="00412A46" w:rsidP="00412A46">
      <w:pPr>
        <w:pStyle w:val="Prrafodelista"/>
        <w:rPr>
          <w:bCs/>
        </w:rPr>
      </w:pPr>
    </w:p>
    <w:p w:rsidR="00B95BCC" w:rsidRDefault="00B95BCC" w:rsidP="00B95BCC">
      <w:pPr>
        <w:pStyle w:val="Prrafodelista"/>
        <w:numPr>
          <w:ilvl w:val="0"/>
          <w:numId w:val="22"/>
        </w:numPr>
        <w:spacing w:after="0"/>
        <w:jc w:val="both"/>
        <w:rPr>
          <w:bCs/>
        </w:rPr>
      </w:pPr>
      <w:r w:rsidRPr="001F7591">
        <w:rPr>
          <w:bCs/>
        </w:rPr>
        <w:t>518,018 familias beneficiarias fueron visitadas y orientadas sobre:</w:t>
      </w:r>
      <w:r w:rsidR="001F7591" w:rsidRPr="001F7591">
        <w:rPr>
          <w:bCs/>
        </w:rPr>
        <w:t xml:space="preserve"> Importancia de la Educación</w:t>
      </w:r>
      <w:r w:rsidR="002239FF">
        <w:rPr>
          <w:bCs/>
        </w:rPr>
        <w:t xml:space="preserve"> 2</w:t>
      </w:r>
      <w:r w:rsidRPr="001F7591">
        <w:rPr>
          <w:bCs/>
        </w:rPr>
        <w:t xml:space="preserve">  en el mes de agosto.</w:t>
      </w:r>
    </w:p>
    <w:p w:rsidR="00412A46" w:rsidRPr="00412A46" w:rsidRDefault="00412A46" w:rsidP="00412A46">
      <w:pPr>
        <w:pStyle w:val="Prrafodelista"/>
        <w:rPr>
          <w:bCs/>
        </w:rPr>
      </w:pPr>
    </w:p>
    <w:p w:rsidR="00B95BCC" w:rsidRDefault="00B95BCC" w:rsidP="00B95BCC">
      <w:pPr>
        <w:pStyle w:val="Prrafodelista"/>
        <w:numPr>
          <w:ilvl w:val="0"/>
          <w:numId w:val="22"/>
        </w:numPr>
        <w:spacing w:after="0"/>
        <w:jc w:val="both"/>
        <w:rPr>
          <w:bCs/>
        </w:rPr>
      </w:pPr>
      <w:r w:rsidRPr="001F7591">
        <w:rPr>
          <w:bCs/>
        </w:rPr>
        <w:t>383,564 familias beneficiarias fueron visitadas y orientadas sobre:</w:t>
      </w:r>
      <w:r w:rsidR="001F7591" w:rsidRPr="001F7591">
        <w:rPr>
          <w:bCs/>
        </w:rPr>
        <w:t xml:space="preserve"> Retroalimentación de los siete componentes</w:t>
      </w:r>
      <w:r w:rsidR="001F7591">
        <w:rPr>
          <w:bCs/>
        </w:rPr>
        <w:t xml:space="preserve"> </w:t>
      </w:r>
      <w:r w:rsidRPr="001F7591">
        <w:rPr>
          <w:bCs/>
        </w:rPr>
        <w:t>en el mes de septiembre.</w:t>
      </w:r>
    </w:p>
    <w:p w:rsidR="00412A46" w:rsidRPr="00412A46" w:rsidRDefault="00412A46" w:rsidP="00412A46">
      <w:pPr>
        <w:pStyle w:val="Prrafodelista"/>
        <w:rPr>
          <w:bCs/>
        </w:rPr>
      </w:pPr>
    </w:p>
    <w:p w:rsidR="00234CAF" w:rsidRDefault="00EE3BC5" w:rsidP="00EE3BC5">
      <w:pPr>
        <w:pStyle w:val="Prrafodelista"/>
        <w:numPr>
          <w:ilvl w:val="0"/>
          <w:numId w:val="22"/>
        </w:numPr>
        <w:spacing w:after="0"/>
        <w:jc w:val="both"/>
        <w:rPr>
          <w:lang w:val="es-ES_tradnl"/>
        </w:rPr>
      </w:pPr>
      <w:r w:rsidRPr="00EE3BC5">
        <w:t>359</w:t>
      </w:r>
      <w:r w:rsidRPr="00EE3BC5">
        <w:rPr>
          <w:lang w:val="es-ES_tradnl"/>
        </w:rPr>
        <w:t>,740</w:t>
      </w:r>
      <w:r w:rsidR="00507C56" w:rsidRPr="00EE3BC5">
        <w:rPr>
          <w:lang w:val="es-ES_tradnl"/>
        </w:rPr>
        <w:t xml:space="preserve"> </w:t>
      </w:r>
      <w:r w:rsidR="00234CAF" w:rsidRPr="00EE3BC5">
        <w:rPr>
          <w:lang w:val="es-ES_tradnl"/>
        </w:rPr>
        <w:t xml:space="preserve">miembros de familias beneficias </w:t>
      </w:r>
      <w:r w:rsidR="00507C56" w:rsidRPr="00EE3BC5">
        <w:rPr>
          <w:lang w:val="es-ES_tradnl"/>
        </w:rPr>
        <w:t xml:space="preserve">fueron orientados </w:t>
      </w:r>
      <w:r w:rsidRPr="00EE3BC5">
        <w:rPr>
          <w:lang w:val="es-ES_tradnl"/>
        </w:rPr>
        <w:t xml:space="preserve">en los temas: Prevención de Enfermedades Tropicales, Importancia de la Educación y Prevención de Enfermedades Crónicas no Transmisibles </w:t>
      </w:r>
      <w:r w:rsidR="006B53D4" w:rsidRPr="00EE3BC5">
        <w:rPr>
          <w:lang w:val="es-ES_tradnl"/>
        </w:rPr>
        <w:t xml:space="preserve">a </w:t>
      </w:r>
      <w:r w:rsidR="00982832" w:rsidRPr="00EE3BC5">
        <w:rPr>
          <w:lang w:val="es-ES_tradnl"/>
        </w:rPr>
        <w:t>través</w:t>
      </w:r>
      <w:r w:rsidR="006B53D4" w:rsidRPr="00EE3BC5">
        <w:rPr>
          <w:lang w:val="es-ES_tradnl"/>
        </w:rPr>
        <w:t xml:space="preserve"> de las Escuelas de Familias.</w:t>
      </w:r>
    </w:p>
    <w:p w:rsidR="00412A46" w:rsidRPr="00412A46" w:rsidRDefault="00412A46" w:rsidP="00412A46">
      <w:pPr>
        <w:pStyle w:val="Prrafodelista"/>
        <w:rPr>
          <w:lang w:val="es-ES_tradnl"/>
        </w:rPr>
      </w:pPr>
    </w:p>
    <w:p w:rsidR="00982832" w:rsidRDefault="00EE3BC5" w:rsidP="00EE3BC5">
      <w:pPr>
        <w:pStyle w:val="Prrafodelista"/>
        <w:numPr>
          <w:ilvl w:val="0"/>
          <w:numId w:val="22"/>
        </w:numPr>
        <w:spacing w:after="0"/>
        <w:jc w:val="both"/>
        <w:rPr>
          <w:lang w:val="es-ES_tradnl"/>
        </w:rPr>
      </w:pPr>
      <w:r w:rsidRPr="00EE3BC5">
        <w:rPr>
          <w:lang w:val="es-ES_tradnl"/>
        </w:rPr>
        <w:lastRenderedPageBreak/>
        <w:t>13,793 a</w:t>
      </w:r>
      <w:r w:rsidR="00982832" w:rsidRPr="00EE3BC5">
        <w:rPr>
          <w:lang w:val="es-ES_tradnl"/>
        </w:rPr>
        <w:t xml:space="preserve">dolescentes y jóvenes </w:t>
      </w:r>
      <w:r w:rsidRPr="00EE3BC5">
        <w:rPr>
          <w:lang w:val="es-ES_tradnl"/>
        </w:rPr>
        <w:t xml:space="preserve">fueron </w:t>
      </w:r>
      <w:r w:rsidR="00982832" w:rsidRPr="00EE3BC5">
        <w:rPr>
          <w:lang w:val="es-ES_tradnl"/>
        </w:rPr>
        <w:t>orientados sobre prevención de embarazo, salud sexual – reproductiva y prevención de infecciones de transmisión sexual (VIH-SIDA, entre otras).</w:t>
      </w:r>
    </w:p>
    <w:p w:rsidR="002239FF" w:rsidRPr="002239FF" w:rsidRDefault="002239FF" w:rsidP="002239FF">
      <w:pPr>
        <w:pStyle w:val="Prrafodelista"/>
        <w:rPr>
          <w:lang w:val="es-ES_tradnl"/>
        </w:rPr>
      </w:pPr>
    </w:p>
    <w:p w:rsidR="00EE3BC5" w:rsidRPr="00EE3BC5" w:rsidRDefault="00EE3BC5" w:rsidP="00EE3BC5">
      <w:pPr>
        <w:pStyle w:val="Prrafodelista"/>
        <w:numPr>
          <w:ilvl w:val="0"/>
          <w:numId w:val="22"/>
        </w:numPr>
        <w:spacing w:after="0"/>
        <w:jc w:val="both"/>
        <w:rPr>
          <w:lang w:val="es-ES_tradnl"/>
        </w:rPr>
      </w:pPr>
      <w:r>
        <w:rPr>
          <w:lang w:val="es-ES_tradnl"/>
        </w:rPr>
        <w:t xml:space="preserve">273,498 </w:t>
      </w:r>
      <w:r w:rsidRPr="00EE3BC5">
        <w:rPr>
          <w:lang w:val="es-ES_tradnl"/>
        </w:rPr>
        <w:t xml:space="preserve">Niños, niñas y adolescentes de familias Prosoli </w:t>
      </w:r>
      <w:r>
        <w:rPr>
          <w:lang w:val="es-ES_tradnl"/>
        </w:rPr>
        <w:t>participaron de</w:t>
      </w:r>
      <w:r w:rsidR="00D659B9">
        <w:rPr>
          <w:lang w:val="es-ES_tradnl"/>
        </w:rPr>
        <w:t xml:space="preserve"> las</w:t>
      </w:r>
      <w:r>
        <w:rPr>
          <w:lang w:val="es-ES_tradnl"/>
        </w:rPr>
        <w:t xml:space="preserve"> actividades realizadas en el c</w:t>
      </w:r>
      <w:r w:rsidRPr="00EE3BC5">
        <w:rPr>
          <w:lang w:val="es-ES_tradnl"/>
        </w:rPr>
        <w:t xml:space="preserve">ampamento </w:t>
      </w:r>
      <w:r>
        <w:rPr>
          <w:lang w:val="es-ES_tradnl"/>
        </w:rPr>
        <w:t>“</w:t>
      </w:r>
      <w:r w:rsidRPr="00EE3BC5">
        <w:rPr>
          <w:lang w:val="es-ES_tradnl"/>
        </w:rPr>
        <w:t>Progresando en Valores</w:t>
      </w:r>
      <w:r>
        <w:rPr>
          <w:lang w:val="es-ES_tradnl"/>
        </w:rPr>
        <w:t>”.</w:t>
      </w:r>
    </w:p>
    <w:p w:rsidR="00B3569C" w:rsidRPr="00B3569C" w:rsidRDefault="00B3569C" w:rsidP="00B3569C">
      <w:pPr>
        <w:pStyle w:val="Prrafodelista"/>
        <w:rPr>
          <w:bCs/>
        </w:rPr>
      </w:pPr>
    </w:p>
    <w:p w:rsidR="008F7689" w:rsidRDefault="008F7689" w:rsidP="008F7689">
      <w:pPr>
        <w:jc w:val="both"/>
        <w:rPr>
          <w:b/>
          <w:bCs/>
        </w:rPr>
      </w:pPr>
      <w:r w:rsidRPr="008F7689">
        <w:rPr>
          <w:bCs/>
        </w:rPr>
        <w:t>Con este informe, se pone a disposición del Gobierno Dominicano y de la Sociedad en General las cifras de la población atendida a través de los principales procesos misionales y funcionales que permitan ser el insumo para los ejercicios de rendición de cuentas y el avance en cumplimiento de lo principios de transparencia y calidad.</w:t>
      </w:r>
      <w:r w:rsidRPr="008F7689">
        <w:rPr>
          <w:b/>
          <w:bCs/>
        </w:rPr>
        <w:t xml:space="preserve"> </w:t>
      </w:r>
      <w:r>
        <w:rPr>
          <w:b/>
          <w:bCs/>
        </w:rPr>
        <w:br w:type="page"/>
      </w:r>
    </w:p>
    <w:p w:rsidR="00092F33" w:rsidRPr="00A02D87" w:rsidRDefault="007953DD">
      <w:pPr>
        <w:rPr>
          <w:b/>
          <w:color w:val="1F497D" w:themeColor="text2"/>
          <w:lang w:val="es-MX"/>
        </w:rPr>
      </w:pPr>
      <w:r w:rsidRPr="00A02D87">
        <w:rPr>
          <w:b/>
          <w:color w:val="1F497D" w:themeColor="text2"/>
          <w:lang w:val="es-MX"/>
        </w:rPr>
        <w:lastRenderedPageBreak/>
        <w:t>RESULTADOS PROGRESANDO CON SOLIDARIDAD P</w:t>
      </w:r>
      <w:r w:rsidR="00DA016E" w:rsidRPr="00A02D87">
        <w:rPr>
          <w:b/>
          <w:color w:val="1F497D" w:themeColor="text2"/>
          <w:lang w:val="es-MX"/>
        </w:rPr>
        <w:t>OR COMPONENTE</w:t>
      </w:r>
      <w:r w:rsidR="00D659B9">
        <w:rPr>
          <w:b/>
          <w:color w:val="1F497D" w:themeColor="text2"/>
          <w:lang w:val="es-MX"/>
        </w:rPr>
        <w:t xml:space="preserve"> DURANTE EL 3ER TRIMESTRE (JULIO-SEPTIEMBRE 2014)</w:t>
      </w:r>
    </w:p>
    <w:p w:rsidR="008F666E" w:rsidRDefault="00E05732" w:rsidP="008F666E">
      <w:pPr>
        <w:rPr>
          <w:b/>
          <w:lang w:val="es-MX"/>
        </w:rPr>
      </w:pPr>
      <w:r>
        <w:rPr>
          <w:b/>
          <w:lang w:val="es-MX"/>
        </w:rPr>
        <w:t>Educación</w:t>
      </w:r>
    </w:p>
    <w:p w:rsidR="008F666E" w:rsidRDefault="00712F85" w:rsidP="00EE29B1">
      <w:pPr>
        <w:jc w:val="both"/>
        <w:rPr>
          <w:lang w:val="es-MX"/>
        </w:rPr>
      </w:pPr>
      <w:r w:rsidRPr="00712F85">
        <w:rPr>
          <w:lang w:val="es-MX"/>
        </w:rPr>
        <w:t>Las intervenciones en educación del Programa Progresando con Solidaridad, están dadas por dos dimensiones: la primera, se caracteriza por la Transferencia Condicionada “Incentivo a la Asistencia Escolar”</w:t>
      </w:r>
      <w:r w:rsidR="00F750CE">
        <w:rPr>
          <w:lang w:val="es-MX"/>
        </w:rPr>
        <w:t xml:space="preserve"> y el Bono a la Educación Media (BEEP)</w:t>
      </w:r>
      <w:r w:rsidRPr="00712F85">
        <w:rPr>
          <w:lang w:val="es-MX"/>
        </w:rPr>
        <w:t xml:space="preserve">, </w:t>
      </w:r>
      <w:r w:rsidR="00F750CE">
        <w:rPr>
          <w:lang w:val="es-MX"/>
        </w:rPr>
        <w:t xml:space="preserve">los </w:t>
      </w:r>
      <w:r w:rsidRPr="00712F85">
        <w:rPr>
          <w:lang w:val="es-MX"/>
        </w:rPr>
        <w:t>cual</w:t>
      </w:r>
      <w:r w:rsidR="00F750CE">
        <w:rPr>
          <w:lang w:val="es-MX"/>
        </w:rPr>
        <w:t>es</w:t>
      </w:r>
      <w:r w:rsidRPr="00712F85">
        <w:rPr>
          <w:lang w:val="es-MX"/>
        </w:rPr>
        <w:t xml:space="preserve"> tiene</w:t>
      </w:r>
      <w:r w:rsidR="00F750CE">
        <w:rPr>
          <w:lang w:val="es-MX"/>
        </w:rPr>
        <w:t>n</w:t>
      </w:r>
      <w:r w:rsidRPr="00712F85">
        <w:rPr>
          <w:lang w:val="es-MX"/>
        </w:rPr>
        <w:t xml:space="preserve"> como objetivos reducir la deserción escolar, incidir en la promoción del grado y disminuir la sobreedad escolar en las familias beneficiarias.  La segunda dimensión, apoya la educación de los miembros estudiantes a través de la educación inicial, formal</w:t>
      </w:r>
      <w:r w:rsidR="00EE29B1">
        <w:rPr>
          <w:lang w:val="es-MX"/>
        </w:rPr>
        <w:t xml:space="preserve"> y de Alfabetización para Adultos</w:t>
      </w:r>
      <w:r w:rsidRPr="00712F85">
        <w:rPr>
          <w:lang w:val="es-MX"/>
        </w:rPr>
        <w:t>.</w:t>
      </w:r>
    </w:p>
    <w:p w:rsidR="0009618E" w:rsidRPr="0009618E" w:rsidRDefault="00894F3A" w:rsidP="0009618E">
      <w:pPr>
        <w:rPr>
          <w:lang w:val="es-MX"/>
        </w:rPr>
      </w:pPr>
      <w:r>
        <w:rPr>
          <w:lang w:val="es-MX"/>
        </w:rPr>
        <w:t>En este componente el programa ha t</w:t>
      </w:r>
      <w:r w:rsidR="0009618E">
        <w:rPr>
          <w:lang w:val="es-MX"/>
        </w:rPr>
        <w:t>enido los siguientes resultados:</w:t>
      </w:r>
    </w:p>
    <w:p w:rsidR="00506D46" w:rsidRDefault="00506D46" w:rsidP="0043475C">
      <w:pPr>
        <w:pStyle w:val="Prrafodelista"/>
        <w:numPr>
          <w:ilvl w:val="0"/>
          <w:numId w:val="2"/>
        </w:numPr>
        <w:spacing w:after="0"/>
        <w:jc w:val="both"/>
        <w:rPr>
          <w:lang w:val="es-MX"/>
        </w:rPr>
      </w:pPr>
      <w:r>
        <w:rPr>
          <w:lang w:val="es-MX"/>
        </w:rPr>
        <w:t xml:space="preserve">194,420 </w:t>
      </w:r>
      <w:r w:rsidR="0086673E">
        <w:rPr>
          <w:lang w:val="es-MX"/>
        </w:rPr>
        <w:t>familias</w:t>
      </w:r>
      <w:r>
        <w:rPr>
          <w:lang w:val="es-MX"/>
        </w:rPr>
        <w:t xml:space="preserve"> beneficiarios</w:t>
      </w:r>
      <w:r w:rsidR="00B515C8">
        <w:rPr>
          <w:lang w:val="es-MX"/>
        </w:rPr>
        <w:t xml:space="preserve"> </w:t>
      </w:r>
      <w:r w:rsidR="009E79BD">
        <w:rPr>
          <w:lang w:val="es-MX"/>
        </w:rPr>
        <w:t xml:space="preserve">con </w:t>
      </w:r>
      <w:r w:rsidR="00B515C8">
        <w:rPr>
          <w:lang w:val="es-MX"/>
        </w:rPr>
        <w:t>288,95</w:t>
      </w:r>
      <w:r w:rsidR="009E79BD">
        <w:rPr>
          <w:lang w:val="es-MX"/>
        </w:rPr>
        <w:t>3 miembros</w:t>
      </w:r>
      <w:r>
        <w:rPr>
          <w:lang w:val="es-MX"/>
        </w:rPr>
        <w:t xml:space="preserve"> recibieron la transferencia Incentivo</w:t>
      </w:r>
      <w:r w:rsidR="00B515C8">
        <w:rPr>
          <w:lang w:val="es-MX"/>
        </w:rPr>
        <w:t xml:space="preserve"> a la Asistencia Escolar (ILAE) con un monto desembolsado de 122 millones 767 mil 200 pesos, es decir un promedio de RD$632.00 por familia.</w:t>
      </w:r>
    </w:p>
    <w:p w:rsidR="00506D46" w:rsidRPr="00506D46" w:rsidRDefault="00506D46" w:rsidP="00506D46">
      <w:pPr>
        <w:pStyle w:val="Prrafodelista"/>
        <w:spacing w:after="0"/>
        <w:rPr>
          <w:lang w:val="es-MX"/>
        </w:rPr>
      </w:pPr>
      <w:r w:rsidRPr="00506D46">
        <w:rPr>
          <w:lang w:val="es-MX"/>
        </w:rPr>
        <w:t xml:space="preserve"> </w:t>
      </w:r>
    </w:p>
    <w:p w:rsidR="0086673E" w:rsidRDefault="00506D46" w:rsidP="0086673E">
      <w:pPr>
        <w:pStyle w:val="Prrafodelista"/>
        <w:numPr>
          <w:ilvl w:val="0"/>
          <w:numId w:val="2"/>
        </w:numPr>
        <w:spacing w:after="0"/>
        <w:jc w:val="both"/>
        <w:rPr>
          <w:lang w:val="es-MX"/>
        </w:rPr>
      </w:pPr>
      <w:r w:rsidRPr="0086673E">
        <w:rPr>
          <w:lang w:val="es-MX"/>
        </w:rPr>
        <w:t xml:space="preserve">86,118 </w:t>
      </w:r>
      <w:r w:rsidR="0086673E">
        <w:rPr>
          <w:lang w:val="es-MX"/>
        </w:rPr>
        <w:t xml:space="preserve">familias con 107,030 </w:t>
      </w:r>
      <w:r w:rsidRPr="0086673E">
        <w:rPr>
          <w:lang w:val="es-MX"/>
        </w:rPr>
        <w:t xml:space="preserve">miembros </w:t>
      </w:r>
      <w:r w:rsidR="006368D4" w:rsidRPr="0086673E">
        <w:rPr>
          <w:lang w:val="es-MX"/>
        </w:rPr>
        <w:t>estudiantes</w:t>
      </w:r>
      <w:r w:rsidR="00733EB9">
        <w:rPr>
          <w:lang w:val="es-MX"/>
        </w:rPr>
        <w:t xml:space="preserve"> en educación media</w:t>
      </w:r>
      <w:r w:rsidR="00235EDE" w:rsidRPr="0086673E">
        <w:rPr>
          <w:lang w:val="es-MX"/>
        </w:rPr>
        <w:t xml:space="preserve"> </w:t>
      </w:r>
      <w:r w:rsidRPr="0086673E">
        <w:rPr>
          <w:lang w:val="es-MX"/>
        </w:rPr>
        <w:t>recibieron el Bono Estudiando Progreso (BEEP)</w:t>
      </w:r>
      <w:r w:rsidR="0086673E" w:rsidRPr="0086673E">
        <w:rPr>
          <w:lang w:val="es-MX"/>
        </w:rPr>
        <w:t xml:space="preserve"> </w:t>
      </w:r>
      <w:r w:rsidR="0086673E">
        <w:rPr>
          <w:lang w:val="es-MX"/>
        </w:rPr>
        <w:t>con un monto desembolsado de 122 millones 391 mil pesos, es decir un promedio de RD$1,421.00 por familia.</w:t>
      </w:r>
    </w:p>
    <w:p w:rsidR="00506D46" w:rsidRPr="0086673E" w:rsidRDefault="00506D46" w:rsidP="00AA376A">
      <w:pPr>
        <w:pStyle w:val="Prrafodelista"/>
        <w:spacing w:after="0"/>
        <w:rPr>
          <w:lang w:val="es-MX"/>
        </w:rPr>
      </w:pPr>
    </w:p>
    <w:p w:rsidR="00C7592B" w:rsidRDefault="00C7592B" w:rsidP="0043475C">
      <w:pPr>
        <w:pStyle w:val="Prrafodelista"/>
        <w:numPr>
          <w:ilvl w:val="0"/>
          <w:numId w:val="2"/>
        </w:numPr>
        <w:spacing w:after="0"/>
        <w:jc w:val="both"/>
        <w:rPr>
          <w:lang w:val="es-MX"/>
        </w:rPr>
      </w:pPr>
      <w:r w:rsidRPr="00C7592B">
        <w:rPr>
          <w:lang w:val="es-MX"/>
        </w:rPr>
        <w:t>362,425  niños/as miembros/as de familias beneficiarias con edades entre los 5 y 21 años de edad que reciben el componente de Incentivo a la Asistencia Escolar</w:t>
      </w:r>
      <w:r>
        <w:rPr>
          <w:lang w:val="es-MX"/>
        </w:rPr>
        <w:t xml:space="preserve"> fueron verificados</w:t>
      </w:r>
      <w:r w:rsidRPr="00C7592B">
        <w:rPr>
          <w:lang w:val="es-MX"/>
        </w:rPr>
        <w:t xml:space="preserve">; </w:t>
      </w:r>
      <w:r>
        <w:rPr>
          <w:lang w:val="es-MX"/>
        </w:rPr>
        <w:t xml:space="preserve">estos </w:t>
      </w:r>
      <w:r w:rsidRPr="00C7592B">
        <w:rPr>
          <w:lang w:val="es-MX"/>
        </w:rPr>
        <w:t>deben cumplir con un mínimo de un 80% de asistencia para el periodo verificado para disponer de los beneficiarios de esta transferencia. Pudo confirmarse que  352,740 estudiantes miembros beneficiarios de ILAE cumplió con la corresponsabilidad de asistencia escolar para el periodo mayo-junio, lo que significa un 97.3% de cumplimiento.</w:t>
      </w:r>
    </w:p>
    <w:p w:rsidR="00C7592B" w:rsidRDefault="00C7592B" w:rsidP="00C7592B">
      <w:pPr>
        <w:pStyle w:val="Prrafodelista"/>
        <w:spacing w:after="0"/>
        <w:rPr>
          <w:lang w:val="es-MX"/>
        </w:rPr>
      </w:pPr>
    </w:p>
    <w:p w:rsidR="00B5352A" w:rsidRDefault="00B5352A" w:rsidP="00B5352A">
      <w:pPr>
        <w:pStyle w:val="Prrafodelista"/>
        <w:numPr>
          <w:ilvl w:val="0"/>
          <w:numId w:val="2"/>
        </w:numPr>
        <w:spacing w:after="0"/>
        <w:jc w:val="both"/>
        <w:rPr>
          <w:bCs/>
        </w:rPr>
      </w:pPr>
      <w:r>
        <w:rPr>
          <w:bCs/>
        </w:rPr>
        <w:t xml:space="preserve">417,134 </w:t>
      </w:r>
      <w:r w:rsidRPr="00EE3BC5">
        <w:rPr>
          <w:bCs/>
        </w:rPr>
        <w:t xml:space="preserve">familias beneficiarias fueron </w:t>
      </w:r>
      <w:r>
        <w:rPr>
          <w:bCs/>
        </w:rPr>
        <w:t xml:space="preserve">visitadas y orientadas sobre: Importancia de la Educación en los miembros de la familia en el mes de julio. </w:t>
      </w:r>
    </w:p>
    <w:p w:rsidR="00B5352A" w:rsidRPr="00B5352A" w:rsidRDefault="00B5352A" w:rsidP="00B5352A">
      <w:pPr>
        <w:pStyle w:val="Prrafodelista"/>
        <w:rPr>
          <w:bCs/>
        </w:rPr>
      </w:pPr>
    </w:p>
    <w:p w:rsidR="00B5352A" w:rsidRPr="001F7591" w:rsidRDefault="00B5352A" w:rsidP="00B5352A">
      <w:pPr>
        <w:pStyle w:val="Prrafodelista"/>
        <w:numPr>
          <w:ilvl w:val="0"/>
          <w:numId w:val="2"/>
        </w:numPr>
        <w:spacing w:after="0"/>
        <w:jc w:val="both"/>
        <w:rPr>
          <w:bCs/>
        </w:rPr>
      </w:pPr>
      <w:r w:rsidRPr="001F7591">
        <w:rPr>
          <w:bCs/>
        </w:rPr>
        <w:t>518,018 familias beneficiarias fueron visitadas y orientadas sobre: Importancia de la Educación  en el mes de agosto.</w:t>
      </w:r>
    </w:p>
    <w:p w:rsidR="00B5352A" w:rsidRPr="00B5352A" w:rsidRDefault="00B5352A" w:rsidP="00B5352A">
      <w:pPr>
        <w:pStyle w:val="Prrafodelista"/>
      </w:pPr>
    </w:p>
    <w:p w:rsidR="00F10DC6" w:rsidRDefault="00F10DC6" w:rsidP="0043475C">
      <w:pPr>
        <w:pStyle w:val="Prrafodelista"/>
        <w:numPr>
          <w:ilvl w:val="0"/>
          <w:numId w:val="2"/>
        </w:numPr>
        <w:spacing w:after="0"/>
        <w:jc w:val="both"/>
        <w:rPr>
          <w:lang w:val="es-MX"/>
        </w:rPr>
      </w:pPr>
      <w:r w:rsidRPr="0009618E">
        <w:rPr>
          <w:lang w:val="es-MX"/>
        </w:rPr>
        <w:t>40,209 jóvenes y niños de familias beneficiarias recibieron refuerzo escolar a través del Proyecto Sociocultural.</w:t>
      </w:r>
    </w:p>
    <w:p w:rsidR="00F10DC6" w:rsidRPr="00F10DC6" w:rsidRDefault="00F10DC6" w:rsidP="00F10DC6">
      <w:pPr>
        <w:spacing w:after="0"/>
        <w:ind w:left="360"/>
        <w:rPr>
          <w:lang w:val="es-MX"/>
        </w:rPr>
      </w:pPr>
    </w:p>
    <w:p w:rsidR="00F10DC6" w:rsidRPr="00F10DC6" w:rsidRDefault="00F10DC6" w:rsidP="0043475C">
      <w:pPr>
        <w:pStyle w:val="Prrafodelista"/>
        <w:numPr>
          <w:ilvl w:val="0"/>
          <w:numId w:val="2"/>
        </w:numPr>
        <w:spacing w:after="0"/>
        <w:jc w:val="both"/>
        <w:rPr>
          <w:b/>
          <w:lang w:val="es-MX"/>
        </w:rPr>
      </w:pPr>
      <w:r w:rsidRPr="004A4C76">
        <w:rPr>
          <w:lang w:val="es-MX"/>
        </w:rPr>
        <w:t xml:space="preserve">11,366 beneficiarios </w:t>
      </w:r>
      <w:r>
        <w:rPr>
          <w:lang w:val="es-MX"/>
        </w:rPr>
        <w:t xml:space="preserve"> que no saben leer y escribir fueron integra</w:t>
      </w:r>
      <w:r w:rsidR="004D2C79">
        <w:rPr>
          <w:lang w:val="es-MX"/>
        </w:rPr>
        <w:t>dos a núcleos de alfabetización, en la Estrategia Nacional de Alfabetización: Quisqueya Aprende Contigo.</w:t>
      </w:r>
    </w:p>
    <w:p w:rsidR="00F10DC6" w:rsidRPr="00F10DC6" w:rsidRDefault="00F10DC6" w:rsidP="00F10DC6">
      <w:pPr>
        <w:spacing w:after="0"/>
        <w:jc w:val="both"/>
        <w:rPr>
          <w:b/>
          <w:lang w:val="es-MX"/>
        </w:rPr>
      </w:pPr>
    </w:p>
    <w:p w:rsidR="00F10DC6" w:rsidRDefault="00F10DC6" w:rsidP="0009618E">
      <w:pPr>
        <w:pStyle w:val="Prrafodelista"/>
        <w:numPr>
          <w:ilvl w:val="0"/>
          <w:numId w:val="2"/>
        </w:numPr>
        <w:spacing w:after="0"/>
        <w:jc w:val="both"/>
        <w:rPr>
          <w:b/>
          <w:lang w:val="es-MX"/>
        </w:rPr>
      </w:pPr>
      <w:r w:rsidRPr="0009618E">
        <w:rPr>
          <w:lang w:val="es-MX"/>
        </w:rPr>
        <w:t>11,029 jóvenes motivados a permanecer en la escuela</w:t>
      </w:r>
      <w:r w:rsidR="004D2C79">
        <w:rPr>
          <w:lang w:val="es-MX"/>
        </w:rPr>
        <w:t>, a través de orientaciones joven a joven</w:t>
      </w:r>
      <w:r>
        <w:rPr>
          <w:b/>
          <w:lang w:val="es-MX"/>
        </w:rPr>
        <w:t>.</w:t>
      </w:r>
    </w:p>
    <w:p w:rsidR="0030696E" w:rsidRPr="004A4C76" w:rsidRDefault="00E05732" w:rsidP="004A4C76">
      <w:pPr>
        <w:jc w:val="both"/>
        <w:rPr>
          <w:b/>
          <w:lang w:val="es-MX"/>
        </w:rPr>
      </w:pPr>
      <w:r w:rsidRPr="004A4C76">
        <w:rPr>
          <w:b/>
          <w:lang w:val="es-MX"/>
        </w:rPr>
        <w:lastRenderedPageBreak/>
        <w:t>Salud Integral</w:t>
      </w:r>
    </w:p>
    <w:p w:rsidR="004D2BDA" w:rsidRDefault="006D67BE" w:rsidP="0043475C">
      <w:pPr>
        <w:jc w:val="both"/>
        <w:rPr>
          <w:lang w:val="es-ES_tradnl"/>
        </w:rPr>
      </w:pPr>
      <w:r w:rsidRPr="006D67BE">
        <w:rPr>
          <w:lang w:val="es-ES_tradnl"/>
        </w:rPr>
        <w:t>El Programa Progresando con Solidaridad crea conciencia de la importancia de la salud integral de cada miembro de las familias beneficiarias de acuerdo a su ciclo de vida</w:t>
      </w:r>
      <w:r>
        <w:rPr>
          <w:lang w:val="es-ES_tradnl"/>
        </w:rPr>
        <w:t>.</w:t>
      </w:r>
    </w:p>
    <w:p w:rsidR="00116F10" w:rsidRPr="009D6093" w:rsidRDefault="001A6B9D" w:rsidP="00116F10">
      <w:pPr>
        <w:jc w:val="both"/>
        <w:rPr>
          <w:lang w:val="es-ES_tradnl"/>
        </w:rPr>
      </w:pPr>
      <w:r>
        <w:rPr>
          <w:lang w:val="es-ES_tradnl"/>
        </w:rPr>
        <w:t xml:space="preserve">Entre los logros </w:t>
      </w:r>
      <w:r w:rsidR="00951962">
        <w:rPr>
          <w:lang w:val="es-ES_tradnl"/>
        </w:rPr>
        <w:t>más</w:t>
      </w:r>
      <w:r>
        <w:rPr>
          <w:lang w:val="es-ES_tradnl"/>
        </w:rPr>
        <w:t xml:space="preserve"> relevantes en este componente están:</w:t>
      </w:r>
    </w:p>
    <w:p w:rsidR="00F94923" w:rsidRDefault="00F94923" w:rsidP="0043475C">
      <w:pPr>
        <w:pStyle w:val="Prrafodelista"/>
        <w:numPr>
          <w:ilvl w:val="0"/>
          <w:numId w:val="4"/>
        </w:numPr>
        <w:spacing w:after="0"/>
        <w:jc w:val="both"/>
        <w:rPr>
          <w:lang w:val="es-ES_tradnl"/>
        </w:rPr>
      </w:pPr>
      <w:r w:rsidRPr="00F94923">
        <w:rPr>
          <w:lang w:val="es-ES_tradnl"/>
        </w:rPr>
        <w:t xml:space="preserve">18,640 niños/as miembros/as de familias beneficiarias de 0 a 2 años de edad </w:t>
      </w:r>
      <w:r>
        <w:rPr>
          <w:lang w:val="es-ES_tradnl"/>
        </w:rPr>
        <w:t xml:space="preserve">fueron verificados </w:t>
      </w:r>
      <w:r w:rsidRPr="00F94923">
        <w:rPr>
          <w:lang w:val="es-ES_tradnl"/>
        </w:rPr>
        <w:t>en el cumplimiento de controles de salud, talla y peso para el periodo Mayo-Junio. Pudo confirmarse que 17,041 cumplieron las visitas médicas; es decir que el 91.4% de los miembros en la edad antes mencionada asistió a las inspecciones de salud.</w:t>
      </w:r>
    </w:p>
    <w:p w:rsidR="00F94923" w:rsidRPr="00F94923" w:rsidRDefault="00F94923" w:rsidP="00F94923">
      <w:pPr>
        <w:pStyle w:val="Prrafodelista"/>
        <w:spacing w:after="0"/>
        <w:jc w:val="both"/>
        <w:rPr>
          <w:lang w:val="es-ES_tradnl"/>
        </w:rPr>
      </w:pPr>
    </w:p>
    <w:p w:rsidR="00F94923" w:rsidRDefault="00F94923" w:rsidP="00F94923">
      <w:pPr>
        <w:pStyle w:val="Prrafodelista"/>
        <w:numPr>
          <w:ilvl w:val="0"/>
          <w:numId w:val="4"/>
        </w:numPr>
        <w:spacing w:after="0"/>
        <w:jc w:val="both"/>
        <w:rPr>
          <w:lang w:val="es-ES_tradnl"/>
        </w:rPr>
      </w:pPr>
      <w:r w:rsidRPr="00F94923">
        <w:rPr>
          <w:lang w:val="es-ES_tradnl"/>
        </w:rPr>
        <w:t xml:space="preserve">7,198 embarazadas miembras de familias beneficiarias Comer es Primero </w:t>
      </w:r>
      <w:r>
        <w:rPr>
          <w:lang w:val="es-ES_tradnl"/>
        </w:rPr>
        <w:t xml:space="preserve">fueron verificadas </w:t>
      </w:r>
      <w:r w:rsidRPr="00F94923">
        <w:rPr>
          <w:lang w:val="es-ES_tradnl"/>
        </w:rPr>
        <w:t>para el cumplimiento de la corresponsabilidad en control de salud; de este total 7,077 asistieron a los controles de salud; observándose que el 98.3% de las embarazadas verificadas ha cumplido con sus corresponsabilidades.</w:t>
      </w:r>
    </w:p>
    <w:p w:rsidR="00F94923" w:rsidRPr="00F94923" w:rsidRDefault="00F94923" w:rsidP="00F94923">
      <w:pPr>
        <w:spacing w:after="0"/>
        <w:jc w:val="both"/>
        <w:rPr>
          <w:lang w:val="es-ES_tradnl"/>
        </w:rPr>
      </w:pPr>
    </w:p>
    <w:p w:rsidR="0068254F" w:rsidRDefault="0068254F" w:rsidP="0068254F">
      <w:pPr>
        <w:pStyle w:val="Prrafodelista"/>
        <w:numPr>
          <w:ilvl w:val="0"/>
          <w:numId w:val="4"/>
        </w:numPr>
        <w:spacing w:after="0"/>
        <w:jc w:val="both"/>
        <w:rPr>
          <w:lang w:val="es-ES_tradnl"/>
        </w:rPr>
      </w:pPr>
      <w:r>
        <w:rPr>
          <w:lang w:val="es-ES_tradnl"/>
        </w:rPr>
        <w:t>13,793 a</w:t>
      </w:r>
      <w:r w:rsidRPr="00624A1B">
        <w:rPr>
          <w:lang w:val="es-ES_tradnl"/>
        </w:rPr>
        <w:t>dolescentes y jóvenes han sido orientados sobre prevención de embarazo, salud sexual – reproductiva y prevención de infecciones de transmisión</w:t>
      </w:r>
      <w:r>
        <w:rPr>
          <w:lang w:val="es-ES_tradnl"/>
        </w:rPr>
        <w:t xml:space="preserve"> sexual (VIH-SIDA, entre otras)</w:t>
      </w:r>
      <w:r w:rsidR="009D7F19">
        <w:rPr>
          <w:lang w:val="es-ES_tradnl"/>
        </w:rPr>
        <w:t>, a través del proyecto “Yo Decido Esperar”</w:t>
      </w:r>
      <w:r>
        <w:rPr>
          <w:lang w:val="es-ES_tradnl"/>
        </w:rPr>
        <w:t>.</w:t>
      </w:r>
    </w:p>
    <w:p w:rsidR="0068254F" w:rsidRPr="0068254F" w:rsidRDefault="0068254F" w:rsidP="0068254F">
      <w:pPr>
        <w:spacing w:after="0"/>
        <w:jc w:val="both"/>
        <w:rPr>
          <w:lang w:val="es-ES_tradnl"/>
        </w:rPr>
      </w:pPr>
    </w:p>
    <w:p w:rsidR="0068254F" w:rsidRDefault="0068254F" w:rsidP="009D6093">
      <w:pPr>
        <w:pStyle w:val="Prrafodelista"/>
        <w:numPr>
          <w:ilvl w:val="0"/>
          <w:numId w:val="4"/>
        </w:numPr>
        <w:spacing w:after="0"/>
        <w:jc w:val="both"/>
        <w:rPr>
          <w:lang w:val="es-ES_tradnl"/>
        </w:rPr>
      </w:pPr>
      <w:r>
        <w:rPr>
          <w:lang w:val="es-ES_tradnl"/>
        </w:rPr>
        <w:t>3,761</w:t>
      </w:r>
      <w:r w:rsidRPr="00EF1A0A">
        <w:rPr>
          <w:lang w:val="es-ES_tradnl"/>
        </w:rPr>
        <w:t xml:space="preserve"> personas recibieron chequeos oftalmológicos, a través de</w:t>
      </w:r>
      <w:r w:rsidR="006368D4">
        <w:rPr>
          <w:lang w:val="es-ES_tradnl"/>
        </w:rPr>
        <w:t xml:space="preserve"> las jornadas</w:t>
      </w:r>
      <w:r w:rsidRPr="00EF1A0A">
        <w:rPr>
          <w:lang w:val="es-ES_tradnl"/>
        </w:rPr>
        <w:t xml:space="preserve"> Mirada Feliz</w:t>
      </w:r>
      <w:r w:rsidR="00B56B9C">
        <w:rPr>
          <w:lang w:val="es-ES_tradnl"/>
        </w:rPr>
        <w:t xml:space="preserve"> en las comunidades de San Cristóbal, Haina, Santiago Rodríguez, Mao Valverde, Guerra y San Isidro</w:t>
      </w:r>
      <w:r w:rsidRPr="00EF1A0A">
        <w:rPr>
          <w:lang w:val="es-ES_tradnl"/>
        </w:rPr>
        <w:t>.</w:t>
      </w:r>
    </w:p>
    <w:p w:rsidR="0068254F" w:rsidRPr="0068254F" w:rsidRDefault="0068254F" w:rsidP="0068254F">
      <w:pPr>
        <w:spacing w:after="0"/>
        <w:jc w:val="both"/>
        <w:rPr>
          <w:lang w:val="es-ES_tradnl"/>
        </w:rPr>
      </w:pPr>
    </w:p>
    <w:p w:rsidR="0068254F" w:rsidRDefault="0068254F" w:rsidP="009D6093">
      <w:pPr>
        <w:pStyle w:val="Prrafodelista"/>
        <w:numPr>
          <w:ilvl w:val="0"/>
          <w:numId w:val="4"/>
        </w:numPr>
        <w:spacing w:after="0"/>
        <w:jc w:val="both"/>
        <w:rPr>
          <w:lang w:val="es-ES_tradnl"/>
        </w:rPr>
      </w:pPr>
      <w:r>
        <w:rPr>
          <w:lang w:val="es-ES_tradnl"/>
        </w:rPr>
        <w:t xml:space="preserve">2,129 </w:t>
      </w:r>
      <w:r w:rsidRPr="00EF1A0A">
        <w:rPr>
          <w:lang w:val="es-ES_tradnl"/>
        </w:rPr>
        <w:t xml:space="preserve">personas recibieron chequeos odontológicos, a través </w:t>
      </w:r>
      <w:r w:rsidR="006368D4" w:rsidRPr="00EF1A0A">
        <w:rPr>
          <w:lang w:val="es-ES_tradnl"/>
        </w:rPr>
        <w:t>de</w:t>
      </w:r>
      <w:r w:rsidR="006368D4">
        <w:rPr>
          <w:lang w:val="es-ES_tradnl"/>
        </w:rPr>
        <w:t xml:space="preserve"> las jornadas</w:t>
      </w:r>
      <w:r w:rsidRPr="00EF1A0A">
        <w:rPr>
          <w:lang w:val="es-ES_tradnl"/>
        </w:rPr>
        <w:t xml:space="preserve"> Sonrisa Feliz</w:t>
      </w:r>
      <w:r w:rsidR="00B56B9C">
        <w:rPr>
          <w:lang w:val="es-ES_tradnl"/>
        </w:rPr>
        <w:t xml:space="preserve"> en las comunidades de San Cristóbal, Haina, Santiago Rodríguez, Mao Valverde, Guerra y San Isidro</w:t>
      </w:r>
      <w:r w:rsidRPr="00EF1A0A">
        <w:rPr>
          <w:lang w:val="es-ES_tradnl"/>
        </w:rPr>
        <w:t xml:space="preserve">. </w:t>
      </w:r>
    </w:p>
    <w:p w:rsidR="0068254F" w:rsidRPr="0068254F" w:rsidRDefault="0068254F" w:rsidP="0068254F">
      <w:pPr>
        <w:spacing w:after="0"/>
        <w:jc w:val="both"/>
        <w:rPr>
          <w:lang w:val="es-ES_tradnl"/>
        </w:rPr>
      </w:pPr>
    </w:p>
    <w:p w:rsidR="0068254F" w:rsidRDefault="0068254F" w:rsidP="0043475C">
      <w:pPr>
        <w:pStyle w:val="Prrafodelista"/>
        <w:numPr>
          <w:ilvl w:val="0"/>
          <w:numId w:val="4"/>
        </w:numPr>
        <w:spacing w:after="0"/>
        <w:jc w:val="both"/>
        <w:rPr>
          <w:lang w:val="es-ES_tradnl"/>
        </w:rPr>
      </w:pPr>
      <w:r>
        <w:rPr>
          <w:lang w:val="es-ES_tradnl"/>
        </w:rPr>
        <w:t>1,596 adolescentes y jóvenes estudiantes orientados en prevención de embarazos e integrados al Proyecto Bebe Piénsalo Bien, los cuales han recibido el simulador de bebe.</w:t>
      </w:r>
    </w:p>
    <w:p w:rsidR="0068254F" w:rsidRPr="0068254F" w:rsidRDefault="0068254F" w:rsidP="0068254F">
      <w:pPr>
        <w:spacing w:after="0"/>
        <w:jc w:val="both"/>
        <w:rPr>
          <w:lang w:val="es-ES_tradnl"/>
        </w:rPr>
      </w:pPr>
    </w:p>
    <w:p w:rsidR="0068254F" w:rsidRDefault="0068254F" w:rsidP="00116F10">
      <w:pPr>
        <w:pStyle w:val="Prrafodelista"/>
        <w:numPr>
          <w:ilvl w:val="0"/>
          <w:numId w:val="4"/>
        </w:numPr>
        <w:spacing w:after="0"/>
        <w:jc w:val="both"/>
        <w:rPr>
          <w:lang w:val="es-ES_tradnl"/>
        </w:rPr>
      </w:pPr>
      <w:r>
        <w:rPr>
          <w:lang w:val="es-ES_tradnl"/>
        </w:rPr>
        <w:t xml:space="preserve">817 </w:t>
      </w:r>
      <w:r w:rsidRPr="009D6093">
        <w:rPr>
          <w:lang w:val="es-ES_tradnl"/>
        </w:rPr>
        <w:t>mujeres embarazadas participa</w:t>
      </w:r>
      <w:r w:rsidR="008D0AB8">
        <w:rPr>
          <w:lang w:val="es-ES_tradnl"/>
        </w:rPr>
        <w:t>ron</w:t>
      </w:r>
      <w:r w:rsidRPr="009D6093">
        <w:rPr>
          <w:lang w:val="es-ES_tradnl"/>
        </w:rPr>
        <w:t xml:space="preserve"> en talleres de "Lactancia Materna"</w:t>
      </w:r>
      <w:r w:rsidR="008D0AB8">
        <w:rPr>
          <w:lang w:val="es-ES_tradnl"/>
        </w:rPr>
        <w:t xml:space="preserve"> en las comunidades: Capotillo, Los Alcarrizos, Villa Consuelo, Villa Duarte, Herrera, Sabana Perdida en Santo Domingo y Distrito Nacional; Jarabacoa, Constanza, la Vega, Azua, Moca, Cienfuegos y la Joya en Santiago; Moca en Gaspar </w:t>
      </w:r>
      <w:r w:rsidR="008435CD">
        <w:rPr>
          <w:lang w:val="es-ES_tradnl"/>
        </w:rPr>
        <w:t>Hernández</w:t>
      </w:r>
      <w:r w:rsidR="008D0AB8">
        <w:rPr>
          <w:lang w:val="es-ES_tradnl"/>
        </w:rPr>
        <w:t xml:space="preserve">, </w:t>
      </w:r>
      <w:r w:rsidR="008435CD">
        <w:rPr>
          <w:lang w:val="es-ES_tradnl"/>
        </w:rPr>
        <w:t>Samaná</w:t>
      </w:r>
      <w:r w:rsidR="008D0AB8">
        <w:rPr>
          <w:lang w:val="es-ES_tradnl"/>
        </w:rPr>
        <w:t xml:space="preserve">, Nagua, San </w:t>
      </w:r>
      <w:r w:rsidR="008435CD">
        <w:rPr>
          <w:lang w:val="es-ES_tradnl"/>
        </w:rPr>
        <w:t>Cristóbal</w:t>
      </w:r>
      <w:r w:rsidR="008D0AB8">
        <w:rPr>
          <w:lang w:val="es-ES_tradnl"/>
        </w:rPr>
        <w:t xml:space="preserve">, Mao  y Esperanza en Valverde; Montecristi, San </w:t>
      </w:r>
      <w:r w:rsidR="008435CD">
        <w:rPr>
          <w:lang w:val="es-ES_tradnl"/>
        </w:rPr>
        <w:t>José</w:t>
      </w:r>
      <w:r w:rsidR="008D0AB8">
        <w:rPr>
          <w:lang w:val="es-ES_tradnl"/>
        </w:rPr>
        <w:t xml:space="preserve"> de Ocoa, Haina y Villa Altagracia. </w:t>
      </w:r>
    </w:p>
    <w:p w:rsidR="0068254F" w:rsidRPr="0068254F" w:rsidRDefault="0068254F" w:rsidP="0068254F">
      <w:pPr>
        <w:spacing w:after="0"/>
        <w:jc w:val="both"/>
        <w:rPr>
          <w:lang w:val="es-ES_tradnl"/>
        </w:rPr>
      </w:pPr>
    </w:p>
    <w:p w:rsidR="0068254F" w:rsidRDefault="0068254F" w:rsidP="009D6093">
      <w:pPr>
        <w:pStyle w:val="Prrafodelista"/>
        <w:numPr>
          <w:ilvl w:val="0"/>
          <w:numId w:val="4"/>
        </w:numPr>
        <w:spacing w:after="0"/>
        <w:jc w:val="both"/>
        <w:rPr>
          <w:lang w:val="es-ES_tradnl"/>
        </w:rPr>
      </w:pPr>
      <w:r>
        <w:rPr>
          <w:lang w:val="es-ES_tradnl"/>
        </w:rPr>
        <w:t xml:space="preserve">648 padres y madres orientados </w:t>
      </w:r>
      <w:r w:rsidRPr="00705447">
        <w:rPr>
          <w:lang w:val="es-ES_tradnl"/>
        </w:rPr>
        <w:t>sobre estrategias para abordar temas de educación sexual con sus hijos/as</w:t>
      </w:r>
      <w:r>
        <w:rPr>
          <w:lang w:val="es-ES_tradnl"/>
        </w:rPr>
        <w:t>, a través del proyecto Bebe Piénsalo Bien</w:t>
      </w:r>
      <w:r w:rsidRPr="00705447">
        <w:rPr>
          <w:lang w:val="es-ES_tradnl"/>
        </w:rPr>
        <w:t>.</w:t>
      </w:r>
    </w:p>
    <w:p w:rsidR="009D6093" w:rsidRPr="009D6093" w:rsidRDefault="009D6093" w:rsidP="009D6093">
      <w:pPr>
        <w:jc w:val="both"/>
        <w:rPr>
          <w:lang w:val="es-ES_tradnl"/>
        </w:rPr>
      </w:pPr>
    </w:p>
    <w:p w:rsidR="002E7B73" w:rsidRDefault="00E05732" w:rsidP="002E7B73">
      <w:pPr>
        <w:jc w:val="both"/>
        <w:rPr>
          <w:b/>
          <w:lang w:val="es-MX"/>
        </w:rPr>
      </w:pPr>
      <w:r>
        <w:rPr>
          <w:b/>
          <w:lang w:val="es-MX"/>
        </w:rPr>
        <w:lastRenderedPageBreak/>
        <w:t>Seguridad Alimentaria y Generación de Ingresos</w:t>
      </w:r>
    </w:p>
    <w:p w:rsidR="008D25FA" w:rsidRPr="008D25FA" w:rsidRDefault="008D25FA" w:rsidP="008D25FA">
      <w:pPr>
        <w:jc w:val="both"/>
        <w:rPr>
          <w:lang w:val="es-MX"/>
        </w:rPr>
      </w:pPr>
      <w:r w:rsidRPr="008D25FA">
        <w:rPr>
          <w:lang w:val="es-MX"/>
        </w:rPr>
        <w:t xml:space="preserve">El Programa promueve la seguridad alimentaria a través de: </w:t>
      </w:r>
    </w:p>
    <w:p w:rsidR="008D25FA" w:rsidRDefault="008D25FA" w:rsidP="008D25FA">
      <w:pPr>
        <w:pStyle w:val="Prrafodelista"/>
        <w:numPr>
          <w:ilvl w:val="0"/>
          <w:numId w:val="7"/>
        </w:numPr>
        <w:jc w:val="both"/>
        <w:rPr>
          <w:lang w:val="es-MX"/>
        </w:rPr>
      </w:pPr>
      <w:r w:rsidRPr="008D25FA">
        <w:rPr>
          <w:lang w:val="es-MX"/>
        </w:rPr>
        <w:t>Creación o identificación de oportunidades para la generación de ingresos para el sostenimiento de la familia (por cuenta propia o empleo).</w:t>
      </w:r>
    </w:p>
    <w:p w:rsidR="005A5042" w:rsidRPr="008D25FA" w:rsidRDefault="005A5042" w:rsidP="005A5042">
      <w:pPr>
        <w:pStyle w:val="Prrafodelista"/>
        <w:jc w:val="both"/>
        <w:rPr>
          <w:lang w:val="es-MX"/>
        </w:rPr>
      </w:pPr>
    </w:p>
    <w:p w:rsidR="008D25FA" w:rsidRDefault="008D25FA" w:rsidP="008D25FA">
      <w:pPr>
        <w:pStyle w:val="Prrafodelista"/>
        <w:numPr>
          <w:ilvl w:val="0"/>
          <w:numId w:val="7"/>
        </w:numPr>
        <w:jc w:val="both"/>
        <w:rPr>
          <w:lang w:val="es-MX"/>
        </w:rPr>
      </w:pPr>
      <w:r w:rsidRPr="008D25FA">
        <w:rPr>
          <w:lang w:val="es-MX"/>
        </w:rPr>
        <w:t>Proyectos agropecuarios para autoconsumo y venta. En coordinación con el Ministerio de Agricultura, el programa Progresando promueve la crianza de aves o animales domésticos para autoconsumo o venta al mercado y siembra de los espacios disponibles en el hogar con huertos orgánicos. A través del Fondo Especial para el Desarrollo Agropecuario (FEDA) se implementa una iniciativa de apoyo a la instalación de unidades pecuarias familiares tanto de gallinitas ponedoras como de crianza de cabras. También se apoya la instalación de unidades de lombricarios colectivos para la producción de abono orgánico.</w:t>
      </w:r>
    </w:p>
    <w:p w:rsidR="005A5042" w:rsidRPr="005A5042" w:rsidRDefault="005A5042" w:rsidP="005A5042">
      <w:pPr>
        <w:pStyle w:val="Prrafodelista"/>
        <w:rPr>
          <w:lang w:val="es-MX"/>
        </w:rPr>
      </w:pPr>
    </w:p>
    <w:p w:rsidR="008D25FA" w:rsidRDefault="008D25FA" w:rsidP="008D25FA">
      <w:pPr>
        <w:pStyle w:val="Prrafodelista"/>
        <w:numPr>
          <w:ilvl w:val="0"/>
          <w:numId w:val="7"/>
        </w:numPr>
        <w:jc w:val="both"/>
        <w:rPr>
          <w:lang w:val="es-MX"/>
        </w:rPr>
      </w:pPr>
      <w:r w:rsidRPr="008D25FA">
        <w:rPr>
          <w:lang w:val="es-MX"/>
        </w:rPr>
        <w:t>Capacitación técnico vocacional. A través del Instituto de Formación Técnico Profesional (INFOTEP), el Ministerio de Trabajo, ONGs y otros sectores, se promueve la capacitación técnico vocacional a personas adultas de las Familias Progresando para que tengan oportunidades de acceso al empleo o de emprender un negocio propio con las habilidades y destrezas adquiridas.</w:t>
      </w:r>
    </w:p>
    <w:p w:rsidR="005A5042" w:rsidRPr="008D25FA" w:rsidRDefault="005A5042" w:rsidP="005A5042">
      <w:pPr>
        <w:pStyle w:val="Prrafodelista"/>
        <w:jc w:val="both"/>
        <w:rPr>
          <w:lang w:val="es-MX"/>
        </w:rPr>
      </w:pPr>
    </w:p>
    <w:p w:rsidR="002E7B73" w:rsidRDefault="008D25FA" w:rsidP="008D25FA">
      <w:pPr>
        <w:pStyle w:val="Prrafodelista"/>
        <w:numPr>
          <w:ilvl w:val="0"/>
          <w:numId w:val="7"/>
        </w:numPr>
        <w:jc w:val="both"/>
        <w:rPr>
          <w:lang w:val="es-MX"/>
        </w:rPr>
      </w:pPr>
      <w:r w:rsidRPr="008D25FA">
        <w:rPr>
          <w:lang w:val="es-MX"/>
        </w:rPr>
        <w:t>Microcrédito y cooperativas para el desarrollo. Las Familias beneficiarias con capacidad emprendedora son apoyadas con créditos que les permitan crear su propio negocio.</w:t>
      </w:r>
    </w:p>
    <w:p w:rsidR="00116F10" w:rsidRPr="00116F10" w:rsidRDefault="0009513D" w:rsidP="00116F10">
      <w:pPr>
        <w:jc w:val="both"/>
        <w:rPr>
          <w:lang w:val="es-ES_tradnl"/>
        </w:rPr>
      </w:pPr>
      <w:r>
        <w:rPr>
          <w:lang w:val="es-ES_tradnl"/>
        </w:rPr>
        <w:t>Este componente ha obtenido los siguiente</w:t>
      </w:r>
      <w:r w:rsidR="00116F10">
        <w:rPr>
          <w:lang w:val="es-ES_tradnl"/>
        </w:rPr>
        <w:t>s resultados:</w:t>
      </w:r>
    </w:p>
    <w:p w:rsidR="00F933CC" w:rsidRDefault="0068254F" w:rsidP="0068254F">
      <w:pPr>
        <w:pStyle w:val="Prrafodelista"/>
        <w:numPr>
          <w:ilvl w:val="0"/>
          <w:numId w:val="8"/>
        </w:numPr>
        <w:spacing w:after="0"/>
        <w:jc w:val="both"/>
        <w:rPr>
          <w:noProof/>
          <w:lang w:val="es-ES_tradnl" w:eastAsia="es-DO"/>
        </w:rPr>
      </w:pPr>
      <w:r w:rsidRPr="0068254F">
        <w:rPr>
          <w:noProof/>
          <w:lang w:val="es-ES_tradnl" w:eastAsia="es-DO"/>
        </w:rPr>
        <w:t>692,828</w:t>
      </w:r>
      <w:r>
        <w:rPr>
          <w:noProof/>
          <w:lang w:val="es-ES_tradnl" w:eastAsia="es-DO"/>
        </w:rPr>
        <w:t xml:space="preserve"> familias beneficiarias recib</w:t>
      </w:r>
      <w:r w:rsidR="00BD1845">
        <w:rPr>
          <w:noProof/>
          <w:lang w:val="es-ES_tradnl" w:eastAsia="es-DO"/>
        </w:rPr>
        <w:t>i</w:t>
      </w:r>
      <w:r>
        <w:rPr>
          <w:noProof/>
          <w:lang w:val="es-ES_tradnl" w:eastAsia="es-DO"/>
        </w:rPr>
        <w:t>e</w:t>
      </w:r>
      <w:r w:rsidR="00BD1845">
        <w:rPr>
          <w:noProof/>
          <w:lang w:val="es-ES_tradnl" w:eastAsia="es-DO"/>
        </w:rPr>
        <w:t>ron</w:t>
      </w:r>
      <w:r>
        <w:rPr>
          <w:noProof/>
          <w:lang w:val="es-ES_tradnl" w:eastAsia="es-DO"/>
        </w:rPr>
        <w:t xml:space="preserve"> la transferencia “Comer es Primero”.</w:t>
      </w:r>
    </w:p>
    <w:p w:rsidR="0068254F" w:rsidRPr="00506D46" w:rsidRDefault="0068254F" w:rsidP="0068254F">
      <w:pPr>
        <w:pStyle w:val="Prrafodelista"/>
        <w:spacing w:after="0"/>
        <w:jc w:val="both"/>
        <w:rPr>
          <w:noProof/>
          <w:lang w:val="es-ES_tradnl" w:eastAsia="es-DO"/>
        </w:rPr>
      </w:pPr>
    </w:p>
    <w:p w:rsidR="00F933CC" w:rsidRDefault="00F933CC" w:rsidP="009D6093">
      <w:pPr>
        <w:pStyle w:val="Prrafodelista"/>
        <w:numPr>
          <w:ilvl w:val="0"/>
          <w:numId w:val="8"/>
        </w:numPr>
        <w:spacing w:after="0"/>
        <w:jc w:val="both"/>
        <w:rPr>
          <w:noProof/>
          <w:lang w:val="es-ES_tradnl" w:eastAsia="es-DO"/>
        </w:rPr>
      </w:pPr>
      <w:r>
        <w:rPr>
          <w:noProof/>
          <w:lang w:val="es-ES_tradnl" w:eastAsia="es-DO"/>
        </w:rPr>
        <w:t>28,465 miembros de familias beneficiarias fueron capacitados en formación té</w:t>
      </w:r>
      <w:r w:rsidR="00235EDE">
        <w:rPr>
          <w:noProof/>
          <w:lang w:val="es-ES_tradnl" w:eastAsia="es-DO"/>
        </w:rPr>
        <w:t>c</w:t>
      </w:r>
      <w:r w:rsidR="00033773">
        <w:rPr>
          <w:noProof/>
          <w:lang w:val="es-ES_tradnl" w:eastAsia="es-DO"/>
        </w:rPr>
        <w:t>nico laboral, a traves de los 35 Centros de Capacitacion y los 300 Centros de Espacios Comunitarios.</w:t>
      </w:r>
    </w:p>
    <w:p w:rsidR="0025179C" w:rsidRPr="0025179C" w:rsidRDefault="0025179C" w:rsidP="0025179C">
      <w:pPr>
        <w:pStyle w:val="Prrafodelista"/>
        <w:rPr>
          <w:noProof/>
          <w:lang w:val="es-ES_tradnl" w:eastAsia="es-DO"/>
        </w:rPr>
      </w:pPr>
    </w:p>
    <w:p w:rsidR="0025179C" w:rsidRDefault="0025179C" w:rsidP="0025179C">
      <w:pPr>
        <w:pStyle w:val="Prrafodelista"/>
        <w:numPr>
          <w:ilvl w:val="0"/>
          <w:numId w:val="8"/>
        </w:numPr>
        <w:rPr>
          <w:noProof/>
          <w:lang w:val="es-ES_tradnl" w:eastAsia="es-DO"/>
        </w:rPr>
      </w:pPr>
      <w:r w:rsidRPr="0025179C">
        <w:rPr>
          <w:noProof/>
          <w:lang w:val="es-ES_tradnl" w:eastAsia="es-DO"/>
        </w:rPr>
        <w:t>4,305 familias beneficiarias fueron orientadas en emprendimiento a través de talleres impartidos en las comunidades Prosoli.</w:t>
      </w:r>
    </w:p>
    <w:p w:rsidR="00BD1845" w:rsidRPr="0025179C" w:rsidRDefault="00BD1845" w:rsidP="00BD1845">
      <w:pPr>
        <w:pStyle w:val="Prrafodelista"/>
        <w:rPr>
          <w:noProof/>
          <w:lang w:val="es-ES_tradnl" w:eastAsia="es-DO"/>
        </w:rPr>
      </w:pPr>
    </w:p>
    <w:p w:rsidR="00F933CC" w:rsidRDefault="00F933CC" w:rsidP="009D6093">
      <w:pPr>
        <w:pStyle w:val="Prrafodelista"/>
        <w:numPr>
          <w:ilvl w:val="0"/>
          <w:numId w:val="8"/>
        </w:numPr>
        <w:spacing w:after="0"/>
        <w:jc w:val="both"/>
        <w:rPr>
          <w:noProof/>
          <w:lang w:val="es-ES_tradnl" w:eastAsia="es-DO"/>
        </w:rPr>
      </w:pPr>
      <w:r w:rsidRPr="009D6093">
        <w:rPr>
          <w:noProof/>
          <w:lang w:val="es-ES_tradnl" w:eastAsia="es-DO"/>
        </w:rPr>
        <w:t>20,827 niños y niñas de 6 a 59 meses recibieron el micronutriente Chispitas Solidarias en UNAPs.</w:t>
      </w:r>
    </w:p>
    <w:p w:rsidR="0025179C" w:rsidRPr="0025179C" w:rsidRDefault="0025179C" w:rsidP="0025179C">
      <w:pPr>
        <w:pStyle w:val="Prrafodelista"/>
        <w:rPr>
          <w:noProof/>
          <w:lang w:val="es-ES_tradnl" w:eastAsia="es-DO"/>
        </w:rPr>
      </w:pPr>
    </w:p>
    <w:p w:rsidR="0025179C" w:rsidRDefault="0025179C" w:rsidP="0025179C">
      <w:pPr>
        <w:pStyle w:val="Prrafodelista"/>
        <w:numPr>
          <w:ilvl w:val="0"/>
          <w:numId w:val="8"/>
        </w:numPr>
        <w:spacing w:after="0"/>
        <w:jc w:val="both"/>
        <w:rPr>
          <w:noProof/>
          <w:lang w:val="es-ES_tradnl" w:eastAsia="es-DO"/>
        </w:rPr>
      </w:pPr>
      <w:r w:rsidRPr="0025179C">
        <w:rPr>
          <w:noProof/>
          <w:lang w:val="es-ES_tradnl" w:eastAsia="es-DO"/>
        </w:rPr>
        <w:t>1,416 mujeres embarazadas y puérperas  (hasta dos meses) recibieron Chispitas Solidarias y/o Progresina</w:t>
      </w:r>
      <w:r w:rsidR="00CA59C3">
        <w:rPr>
          <w:noProof/>
          <w:lang w:val="es-ES_tradnl" w:eastAsia="es-DO"/>
        </w:rPr>
        <w:t>.</w:t>
      </w:r>
    </w:p>
    <w:p w:rsidR="00F933CC" w:rsidRPr="00F933CC" w:rsidRDefault="00F933CC" w:rsidP="00F933CC">
      <w:pPr>
        <w:spacing w:after="0"/>
        <w:jc w:val="both"/>
        <w:rPr>
          <w:noProof/>
          <w:lang w:val="es-ES_tradnl" w:eastAsia="es-DO"/>
        </w:rPr>
      </w:pPr>
    </w:p>
    <w:p w:rsidR="00F933CC" w:rsidRDefault="00F933CC" w:rsidP="00CA59C3">
      <w:pPr>
        <w:pStyle w:val="Prrafodelista"/>
        <w:numPr>
          <w:ilvl w:val="0"/>
          <w:numId w:val="8"/>
        </w:numPr>
        <w:spacing w:after="0"/>
        <w:jc w:val="both"/>
        <w:rPr>
          <w:noProof/>
          <w:lang w:val="es-ES_tradnl" w:eastAsia="es-DO"/>
        </w:rPr>
      </w:pPr>
      <w:r>
        <w:rPr>
          <w:noProof/>
          <w:lang w:val="es-ES_tradnl" w:eastAsia="es-DO"/>
        </w:rPr>
        <w:t xml:space="preserve">12,242 </w:t>
      </w:r>
      <w:r w:rsidRPr="008C2844">
        <w:rPr>
          <w:noProof/>
          <w:lang w:val="es-ES_tradnl" w:eastAsia="es-DO"/>
        </w:rPr>
        <w:t>familias han sido capacitadas</w:t>
      </w:r>
      <w:r w:rsidR="00CA59C3">
        <w:rPr>
          <w:noProof/>
          <w:lang w:val="es-ES_tradnl" w:eastAsia="es-DO"/>
        </w:rPr>
        <w:t xml:space="preserve"> e insertadas</w:t>
      </w:r>
      <w:r w:rsidRPr="008C2844">
        <w:rPr>
          <w:noProof/>
          <w:lang w:val="es-ES_tradnl" w:eastAsia="es-DO"/>
        </w:rPr>
        <w:t xml:space="preserve"> en la producción </w:t>
      </w:r>
      <w:r w:rsidR="00CA59C3">
        <w:rPr>
          <w:noProof/>
          <w:lang w:val="es-ES_tradnl" w:eastAsia="es-DO"/>
        </w:rPr>
        <w:t>de</w:t>
      </w:r>
      <w:r w:rsidRPr="008C2844">
        <w:rPr>
          <w:noProof/>
          <w:lang w:val="es-ES_tradnl" w:eastAsia="es-DO"/>
        </w:rPr>
        <w:t xml:space="preserve"> huertos familiares</w:t>
      </w:r>
      <w:r w:rsidR="00CA59C3">
        <w:rPr>
          <w:noProof/>
          <w:lang w:val="es-ES_tradnl" w:eastAsia="es-DO"/>
        </w:rPr>
        <w:t xml:space="preserve"> en las comunidades </w:t>
      </w:r>
      <w:r w:rsidR="00CA59C3" w:rsidRPr="00CA59C3">
        <w:rPr>
          <w:noProof/>
          <w:lang w:val="es-ES_tradnl" w:eastAsia="es-DO"/>
        </w:rPr>
        <w:t xml:space="preserve">Piraguas en San Luis, de Sto. Dgo. Este, Azua, Neyba, Altamira, Galván, </w:t>
      </w:r>
      <w:r w:rsidR="00CA59C3" w:rsidRPr="00CA59C3">
        <w:rPr>
          <w:noProof/>
          <w:lang w:val="es-ES_tradnl" w:eastAsia="es-DO"/>
        </w:rPr>
        <w:lastRenderedPageBreak/>
        <w:t>Puerto Plata, La Vega y Jíma, San Cristóbal, Duverge, Jimaní, La Descubierta, Postrer Rio, Neyba, Villa Jaragua, Los Ríos, Galván, Hato Mayor, San José de Ocoa y Cotuí, San Juan, Bonao, La Romana y Constanza.</w:t>
      </w:r>
    </w:p>
    <w:p w:rsidR="0068254F" w:rsidRPr="0025179C" w:rsidRDefault="0068254F" w:rsidP="0025179C">
      <w:pPr>
        <w:rPr>
          <w:noProof/>
          <w:lang w:val="es-ES_tradnl" w:eastAsia="es-DO"/>
        </w:rPr>
      </w:pPr>
    </w:p>
    <w:p w:rsidR="0068254F" w:rsidRDefault="0068254F" w:rsidP="005A1BAB">
      <w:pPr>
        <w:pStyle w:val="Prrafodelista"/>
        <w:numPr>
          <w:ilvl w:val="0"/>
          <w:numId w:val="8"/>
        </w:numPr>
        <w:spacing w:after="0"/>
        <w:jc w:val="both"/>
        <w:rPr>
          <w:noProof/>
          <w:lang w:val="es-ES_tradnl" w:eastAsia="es-DO"/>
        </w:rPr>
      </w:pPr>
      <w:r>
        <w:rPr>
          <w:noProof/>
          <w:lang w:val="es-ES_tradnl" w:eastAsia="es-DO"/>
        </w:rPr>
        <w:t>2,378 familias Prosoli recibieron gallinitas ponedoras</w:t>
      </w:r>
      <w:r w:rsidR="005A1BAB">
        <w:rPr>
          <w:noProof/>
          <w:lang w:val="es-ES_tradnl" w:eastAsia="es-DO"/>
        </w:rPr>
        <w:t xml:space="preserve"> para la produccion avicola con el fin de autoconsumo y venta en las comunidades </w:t>
      </w:r>
      <w:r w:rsidR="005A1BAB" w:rsidRPr="005A1BAB">
        <w:rPr>
          <w:noProof/>
          <w:lang w:val="es-ES_tradnl" w:eastAsia="es-DO"/>
        </w:rPr>
        <w:t>La Cuaba, Serralles, La Gina, Peralvillo y Los botados del Municipio Yamasá, en la provincia Monte Plata.</w:t>
      </w:r>
    </w:p>
    <w:p w:rsidR="00811DDC" w:rsidRPr="00811DDC" w:rsidRDefault="00811DDC" w:rsidP="00811DDC">
      <w:pPr>
        <w:pStyle w:val="Prrafodelista"/>
        <w:rPr>
          <w:noProof/>
          <w:lang w:val="es-ES_tradnl" w:eastAsia="es-DO"/>
        </w:rPr>
      </w:pPr>
    </w:p>
    <w:p w:rsidR="00811DDC" w:rsidRDefault="00811DDC" w:rsidP="00984B34">
      <w:pPr>
        <w:pStyle w:val="Prrafodelista"/>
        <w:numPr>
          <w:ilvl w:val="0"/>
          <w:numId w:val="8"/>
        </w:numPr>
        <w:spacing w:after="0"/>
        <w:jc w:val="both"/>
        <w:rPr>
          <w:noProof/>
          <w:lang w:val="es-ES_tradnl" w:eastAsia="es-DO"/>
        </w:rPr>
      </w:pPr>
      <w:r>
        <w:rPr>
          <w:noProof/>
          <w:lang w:val="es-ES_tradnl" w:eastAsia="es-DO"/>
        </w:rPr>
        <w:t>1,806 familias recibieron insumos para la producción de chinola</w:t>
      </w:r>
      <w:r w:rsidR="00984B34">
        <w:rPr>
          <w:noProof/>
          <w:lang w:val="es-ES_tradnl" w:eastAsia="es-DO"/>
        </w:rPr>
        <w:t xml:space="preserve"> y guanabana</w:t>
      </w:r>
      <w:r>
        <w:rPr>
          <w:noProof/>
          <w:lang w:val="es-ES_tradnl" w:eastAsia="es-DO"/>
        </w:rPr>
        <w:t xml:space="preserve"> para </w:t>
      </w:r>
      <w:r w:rsidR="00984B34">
        <w:rPr>
          <w:noProof/>
          <w:lang w:val="es-ES_tradnl" w:eastAsia="es-DO"/>
        </w:rPr>
        <w:t xml:space="preserve">autoconsumo y </w:t>
      </w:r>
      <w:r>
        <w:rPr>
          <w:noProof/>
          <w:lang w:val="es-ES_tradnl" w:eastAsia="es-DO"/>
        </w:rPr>
        <w:t>venta</w:t>
      </w:r>
      <w:r w:rsidR="00984B34">
        <w:rPr>
          <w:noProof/>
          <w:lang w:val="es-ES_tradnl" w:eastAsia="es-DO"/>
        </w:rPr>
        <w:t xml:space="preserve"> en las comunidades </w:t>
      </w:r>
      <w:r w:rsidR="00984B34" w:rsidRPr="00984B34">
        <w:rPr>
          <w:noProof/>
          <w:lang w:val="es-ES_tradnl" w:eastAsia="es-DO"/>
        </w:rPr>
        <w:t>Sánchez, Samaná y Nagua, Chinola y Guanábana en Santiago Rodriguez, Montecristi, Elías Piña y San Cristóbal, Santiago Rodriguez, Montecristi, Elías Piña y San Cristóbal</w:t>
      </w:r>
      <w:r>
        <w:rPr>
          <w:noProof/>
          <w:lang w:val="es-ES_tradnl" w:eastAsia="es-DO"/>
        </w:rPr>
        <w:t>.</w:t>
      </w:r>
    </w:p>
    <w:p w:rsidR="00811DDC" w:rsidRPr="00811DDC" w:rsidRDefault="00811DDC" w:rsidP="00811DDC">
      <w:pPr>
        <w:pStyle w:val="Prrafodelista"/>
        <w:rPr>
          <w:noProof/>
          <w:lang w:val="es-ES_tradnl" w:eastAsia="es-DO"/>
        </w:rPr>
      </w:pPr>
    </w:p>
    <w:p w:rsidR="0025179C" w:rsidRPr="0025179C" w:rsidRDefault="00811DDC" w:rsidP="00016804">
      <w:pPr>
        <w:pStyle w:val="Prrafodelista"/>
        <w:numPr>
          <w:ilvl w:val="0"/>
          <w:numId w:val="8"/>
        </w:numPr>
        <w:spacing w:after="0"/>
        <w:jc w:val="both"/>
        <w:rPr>
          <w:noProof/>
          <w:lang w:val="es-ES_tradnl" w:eastAsia="es-DO"/>
        </w:rPr>
      </w:pPr>
      <w:r>
        <w:rPr>
          <w:noProof/>
          <w:lang w:val="es-ES_tradnl" w:eastAsia="es-DO"/>
        </w:rPr>
        <w:t>1,265 familias recibieron insumos para la producción de cerezas</w:t>
      </w:r>
      <w:r w:rsidR="000C7344">
        <w:rPr>
          <w:noProof/>
          <w:lang w:val="es-ES_tradnl" w:eastAsia="es-DO"/>
        </w:rPr>
        <w:t xml:space="preserve"> para el procesamie</w:t>
      </w:r>
      <w:r w:rsidR="00016804">
        <w:rPr>
          <w:noProof/>
          <w:lang w:val="es-ES_tradnl" w:eastAsia="es-DO"/>
        </w:rPr>
        <w:t xml:space="preserve">nto de frutas en las comunidades </w:t>
      </w:r>
      <w:r w:rsidR="00016804" w:rsidRPr="00016804">
        <w:rPr>
          <w:noProof/>
          <w:lang w:val="es-ES_tradnl" w:eastAsia="es-DO"/>
        </w:rPr>
        <w:t>Juma, Caracol, Piedra Blanca, El Coco de Arroyo Toro, Arroyo Toro Abajo y Los Martinez en Maimón, Sánchez Ramírez y Sabana Grande de Boya</w:t>
      </w:r>
      <w:r w:rsidR="00016804">
        <w:rPr>
          <w:noProof/>
          <w:lang w:val="es-ES_tradnl" w:eastAsia="es-DO"/>
        </w:rPr>
        <w:t>.</w:t>
      </w:r>
    </w:p>
    <w:p w:rsidR="0068254F" w:rsidRPr="0068254F" w:rsidRDefault="0068254F" w:rsidP="0068254F">
      <w:pPr>
        <w:spacing w:after="0"/>
        <w:jc w:val="both"/>
        <w:rPr>
          <w:noProof/>
          <w:lang w:val="es-ES_tradnl" w:eastAsia="es-DO"/>
        </w:rPr>
      </w:pPr>
    </w:p>
    <w:p w:rsidR="0068254F" w:rsidRDefault="0068254F" w:rsidP="00116F10">
      <w:pPr>
        <w:pStyle w:val="Prrafodelista"/>
        <w:numPr>
          <w:ilvl w:val="0"/>
          <w:numId w:val="8"/>
        </w:numPr>
        <w:spacing w:after="0"/>
        <w:jc w:val="both"/>
        <w:rPr>
          <w:noProof/>
          <w:lang w:val="es-ES_tradnl" w:eastAsia="es-DO"/>
        </w:rPr>
      </w:pPr>
      <w:r>
        <w:rPr>
          <w:noProof/>
          <w:lang w:val="es-ES_tradnl" w:eastAsia="es-DO"/>
        </w:rPr>
        <w:t>260 familias recibieron insumos para la producción de abono orgánico a través de la lombricultura.</w:t>
      </w:r>
    </w:p>
    <w:p w:rsidR="0025179C" w:rsidRPr="0025179C" w:rsidRDefault="0025179C" w:rsidP="0025179C">
      <w:pPr>
        <w:pStyle w:val="Prrafodelista"/>
        <w:rPr>
          <w:noProof/>
          <w:lang w:val="es-ES_tradnl" w:eastAsia="es-DO"/>
        </w:rPr>
      </w:pPr>
    </w:p>
    <w:p w:rsidR="009D6093" w:rsidRDefault="0025179C" w:rsidP="0025179C">
      <w:pPr>
        <w:pStyle w:val="Prrafodelista"/>
        <w:numPr>
          <w:ilvl w:val="0"/>
          <w:numId w:val="8"/>
        </w:numPr>
        <w:rPr>
          <w:noProof/>
          <w:lang w:val="es-ES_tradnl" w:eastAsia="es-DO"/>
        </w:rPr>
      </w:pPr>
      <w:r w:rsidRPr="0025179C">
        <w:rPr>
          <w:noProof/>
          <w:lang w:val="es-ES_tradnl" w:eastAsia="es-DO"/>
        </w:rPr>
        <w:t>872 personas</w:t>
      </w:r>
      <w:r w:rsidR="00235EDE">
        <w:rPr>
          <w:noProof/>
          <w:lang w:val="es-ES_tradnl" w:eastAsia="es-DO"/>
        </w:rPr>
        <w:t xml:space="preserve"> fueron</w:t>
      </w:r>
      <w:r w:rsidRPr="0025179C">
        <w:rPr>
          <w:noProof/>
          <w:lang w:val="es-ES_tradnl" w:eastAsia="es-DO"/>
        </w:rPr>
        <w:t xml:space="preserve"> pesadas, talladas y orientadas para mejorar su estado  nutricional en las jornadas de "Nutrimóvil"</w:t>
      </w:r>
      <w:r w:rsidR="009B6DBA">
        <w:rPr>
          <w:noProof/>
          <w:lang w:val="es-ES_tradnl" w:eastAsia="es-DO"/>
        </w:rPr>
        <w:t xml:space="preserve"> en las comunidades de Boca Chica y los Alcarrizos en Santo Domingo; Cienfuegos y Licey en la Provincia de Santiago</w:t>
      </w:r>
      <w:r w:rsidRPr="0025179C">
        <w:rPr>
          <w:noProof/>
          <w:lang w:val="es-ES_tradnl" w:eastAsia="es-DO"/>
        </w:rPr>
        <w:t>.</w:t>
      </w:r>
    </w:p>
    <w:p w:rsidR="006368D4" w:rsidRPr="006368D4" w:rsidRDefault="006368D4" w:rsidP="006368D4">
      <w:pPr>
        <w:pStyle w:val="Prrafodelista"/>
        <w:rPr>
          <w:noProof/>
          <w:lang w:val="es-ES_tradnl" w:eastAsia="es-DO"/>
        </w:rPr>
      </w:pPr>
    </w:p>
    <w:p w:rsidR="00747B15" w:rsidRPr="00530D0B" w:rsidRDefault="00E05732" w:rsidP="00747B15">
      <w:pPr>
        <w:pStyle w:val="Sinespaciado"/>
        <w:rPr>
          <w:b/>
        </w:rPr>
      </w:pPr>
      <w:r w:rsidRPr="00530D0B">
        <w:rPr>
          <w:b/>
        </w:rPr>
        <w:t xml:space="preserve">Formación Humana </w:t>
      </w:r>
      <w:r>
        <w:rPr>
          <w:b/>
        </w:rPr>
        <w:t>y</w:t>
      </w:r>
      <w:r w:rsidRPr="00530D0B">
        <w:rPr>
          <w:b/>
        </w:rPr>
        <w:t xml:space="preserve"> Conciencia </w:t>
      </w:r>
      <w:r w:rsidR="0051766F">
        <w:rPr>
          <w:b/>
        </w:rPr>
        <w:t xml:space="preserve">Ciudadana </w:t>
      </w:r>
    </w:p>
    <w:p w:rsidR="001C6108" w:rsidRDefault="001C6108" w:rsidP="00747B15">
      <w:pPr>
        <w:spacing w:after="0"/>
        <w:jc w:val="both"/>
      </w:pPr>
    </w:p>
    <w:p w:rsidR="00747B15" w:rsidRDefault="00747B15" w:rsidP="00B26401">
      <w:pPr>
        <w:spacing w:after="0"/>
        <w:jc w:val="both"/>
      </w:pPr>
      <w:r w:rsidRPr="00530D0B">
        <w:t>El programa Progresando</w:t>
      </w:r>
      <w:r>
        <w:t xml:space="preserve"> con Solidaridad</w:t>
      </w:r>
      <w:r w:rsidRPr="00530D0B">
        <w:t xml:space="preserve"> aspira a que las familias </w:t>
      </w:r>
      <w:r>
        <w:t>beneficiarias</w:t>
      </w:r>
      <w:r w:rsidRPr="00530D0B">
        <w:t xml:space="preserve"> tengan</w:t>
      </w:r>
      <w:r>
        <w:t xml:space="preserve"> </w:t>
      </w:r>
      <w:r w:rsidRPr="00530D0B">
        <w:t>mayor</w:t>
      </w:r>
      <w:r>
        <w:t xml:space="preserve"> </w:t>
      </w:r>
      <w:r w:rsidRPr="00530D0B">
        <w:t>formación en valores humanos y conciencia de sus derechos y deberes ciudadanos para contribuir</w:t>
      </w:r>
      <w:r>
        <w:t xml:space="preserve"> </w:t>
      </w:r>
      <w:r w:rsidRPr="00530D0B">
        <w:t>a la construcción de una cultura de paz.</w:t>
      </w:r>
      <w:r>
        <w:t xml:space="preserve"> </w:t>
      </w:r>
      <w:r w:rsidRPr="00530D0B">
        <w:t xml:space="preserve">Para tales fines, genera capacidades para: </w:t>
      </w:r>
    </w:p>
    <w:p w:rsidR="00747B15" w:rsidRPr="00530D0B" w:rsidRDefault="00747B15" w:rsidP="00747B15">
      <w:pPr>
        <w:spacing w:after="0" w:line="240" w:lineRule="auto"/>
        <w:jc w:val="both"/>
      </w:pPr>
    </w:p>
    <w:p w:rsidR="00747B15" w:rsidRPr="00530D0B" w:rsidRDefault="00747B15" w:rsidP="00747B15">
      <w:pPr>
        <w:pStyle w:val="Prrafodelista"/>
        <w:numPr>
          <w:ilvl w:val="0"/>
          <w:numId w:val="9"/>
        </w:numPr>
        <w:jc w:val="both"/>
      </w:pPr>
      <w:r w:rsidRPr="00530D0B">
        <w:t>Las relaciones armónicas entre integrantes de la familia.</w:t>
      </w:r>
    </w:p>
    <w:p w:rsidR="00747B15" w:rsidRPr="00530D0B" w:rsidRDefault="00747B15" w:rsidP="00747B15">
      <w:pPr>
        <w:pStyle w:val="Prrafodelista"/>
        <w:numPr>
          <w:ilvl w:val="0"/>
          <w:numId w:val="9"/>
        </w:numPr>
        <w:jc w:val="both"/>
      </w:pPr>
      <w:r w:rsidRPr="00530D0B">
        <w:t>La resolución pacífica de conflictos.</w:t>
      </w:r>
    </w:p>
    <w:p w:rsidR="00747B15" w:rsidRPr="00530D0B" w:rsidRDefault="00747B15" w:rsidP="00747B15">
      <w:pPr>
        <w:pStyle w:val="Prrafodelista"/>
        <w:numPr>
          <w:ilvl w:val="0"/>
          <w:numId w:val="9"/>
        </w:numPr>
        <w:jc w:val="both"/>
      </w:pPr>
      <w:r w:rsidRPr="00530D0B">
        <w:t>La participación en organizaciones, iniciativas y grupos de incidencia comunitaria.</w:t>
      </w:r>
    </w:p>
    <w:p w:rsidR="00747B15" w:rsidRPr="00530D0B" w:rsidRDefault="00747B15" w:rsidP="00747B15">
      <w:pPr>
        <w:pStyle w:val="Prrafodelista"/>
        <w:numPr>
          <w:ilvl w:val="0"/>
          <w:numId w:val="9"/>
        </w:numPr>
        <w:jc w:val="both"/>
      </w:pPr>
      <w:r w:rsidRPr="00530D0B">
        <w:t>La participación en espacios para la recreación y la expresión</w:t>
      </w:r>
      <w:r>
        <w:t xml:space="preserve"> </w:t>
      </w:r>
      <w:r w:rsidRPr="00530D0B">
        <w:t>artística y cultural.</w:t>
      </w:r>
    </w:p>
    <w:p w:rsidR="00747B15" w:rsidRDefault="00747B15" w:rsidP="00747B15">
      <w:pPr>
        <w:pStyle w:val="Prrafodelista"/>
        <w:numPr>
          <w:ilvl w:val="0"/>
          <w:numId w:val="9"/>
        </w:numPr>
        <w:jc w:val="both"/>
      </w:pPr>
      <w:r w:rsidRPr="00530D0B">
        <w:t>Formación en valores positivos.</w:t>
      </w:r>
    </w:p>
    <w:p w:rsidR="000F03DC" w:rsidRDefault="000F03DC" w:rsidP="00E05732">
      <w:pPr>
        <w:pStyle w:val="Prrafodelista"/>
        <w:spacing w:after="0"/>
        <w:jc w:val="both"/>
      </w:pPr>
    </w:p>
    <w:p w:rsidR="00F933CC" w:rsidRPr="00D10E32" w:rsidRDefault="00BD1845" w:rsidP="00F933CC">
      <w:pPr>
        <w:jc w:val="both"/>
        <w:rPr>
          <w:lang w:val="es-ES_tradnl"/>
        </w:rPr>
      </w:pPr>
      <w:r>
        <w:rPr>
          <w:lang w:val="es-ES_tradnl"/>
        </w:rPr>
        <w:t>Los resultados obtenidos por el Programa en esta línea de intervención son</w:t>
      </w:r>
      <w:r w:rsidR="00F933CC">
        <w:rPr>
          <w:lang w:val="es-ES_tradnl"/>
        </w:rPr>
        <w:t>:</w:t>
      </w:r>
    </w:p>
    <w:p w:rsidR="00DD456F" w:rsidRPr="001F7591" w:rsidRDefault="00DD456F" w:rsidP="00DD456F">
      <w:pPr>
        <w:pStyle w:val="Prrafodelista"/>
        <w:numPr>
          <w:ilvl w:val="0"/>
          <w:numId w:val="22"/>
        </w:numPr>
        <w:spacing w:after="0"/>
        <w:jc w:val="both"/>
        <w:rPr>
          <w:bCs/>
        </w:rPr>
      </w:pPr>
      <w:r w:rsidRPr="001F7591">
        <w:rPr>
          <w:bCs/>
        </w:rPr>
        <w:t>383,564 familias beneficiarias fueron visitadas y orientadas sobre: Retroalimentación de los siete componentes</w:t>
      </w:r>
      <w:r>
        <w:rPr>
          <w:bCs/>
        </w:rPr>
        <w:t xml:space="preserve"> </w:t>
      </w:r>
      <w:r w:rsidRPr="001F7591">
        <w:rPr>
          <w:bCs/>
        </w:rPr>
        <w:t>en el mes de septiembre.</w:t>
      </w:r>
    </w:p>
    <w:p w:rsidR="00F933CC" w:rsidRPr="00DD456F" w:rsidRDefault="00F933CC" w:rsidP="00F933CC">
      <w:pPr>
        <w:spacing w:after="0"/>
        <w:ind w:left="360"/>
        <w:jc w:val="both"/>
      </w:pPr>
    </w:p>
    <w:p w:rsidR="00F933CC" w:rsidRDefault="00F933CC" w:rsidP="00F933CC">
      <w:pPr>
        <w:pStyle w:val="Prrafodelista"/>
        <w:numPr>
          <w:ilvl w:val="0"/>
          <w:numId w:val="10"/>
        </w:numPr>
        <w:spacing w:after="0"/>
        <w:jc w:val="both"/>
        <w:rPr>
          <w:lang w:val="es-ES_tradnl"/>
        </w:rPr>
      </w:pPr>
      <w:r w:rsidRPr="00F933CC">
        <w:rPr>
          <w:lang w:val="es-ES_tradnl"/>
        </w:rPr>
        <w:lastRenderedPageBreak/>
        <w:t>359,740 miembros de familias beneficias fueron orientados en los temas: Prevención de Enfermedades Tropicales, Importancia de la Educación y Prevención de Enfermedades Crónicas no Transmisibles a través de las Escuelas de Familias.</w:t>
      </w:r>
    </w:p>
    <w:p w:rsidR="00F933CC" w:rsidRPr="00F933CC" w:rsidRDefault="00F933CC" w:rsidP="00F933CC">
      <w:pPr>
        <w:spacing w:after="0"/>
        <w:jc w:val="both"/>
        <w:rPr>
          <w:lang w:val="es-ES_tradnl"/>
        </w:rPr>
      </w:pPr>
    </w:p>
    <w:p w:rsidR="00F933CC" w:rsidRDefault="00923117" w:rsidP="00732158">
      <w:pPr>
        <w:pStyle w:val="Prrafodelista"/>
        <w:numPr>
          <w:ilvl w:val="0"/>
          <w:numId w:val="10"/>
        </w:numPr>
        <w:spacing w:after="0"/>
        <w:jc w:val="both"/>
        <w:rPr>
          <w:lang w:val="es-ES_tradnl"/>
        </w:rPr>
      </w:pPr>
      <w:r>
        <w:rPr>
          <w:lang w:val="es-ES_tradnl"/>
        </w:rPr>
        <w:t xml:space="preserve">En este verano participaron </w:t>
      </w:r>
      <w:r w:rsidR="00F933CC">
        <w:rPr>
          <w:lang w:val="es-ES_tradnl"/>
        </w:rPr>
        <w:t xml:space="preserve">273,498 </w:t>
      </w:r>
      <w:r w:rsidR="00F933CC" w:rsidRPr="00D10E32">
        <w:rPr>
          <w:lang w:val="es-ES_tradnl"/>
        </w:rPr>
        <w:t>Niños, niñas y adolescentes de familias en el Campamento Progresando en Valores</w:t>
      </w:r>
      <w:r>
        <w:rPr>
          <w:lang w:val="es-ES_tradnl"/>
        </w:rPr>
        <w:t>, el cual fue realizado en todo el territorio nacional.</w:t>
      </w:r>
    </w:p>
    <w:p w:rsidR="00F933CC" w:rsidRPr="00F933CC" w:rsidRDefault="00F933CC" w:rsidP="00F933CC">
      <w:pPr>
        <w:spacing w:after="0"/>
        <w:jc w:val="both"/>
        <w:rPr>
          <w:lang w:val="es-ES_tradnl"/>
        </w:rPr>
      </w:pPr>
    </w:p>
    <w:p w:rsidR="00F933CC" w:rsidRDefault="00F933CC" w:rsidP="009D26EC">
      <w:pPr>
        <w:pStyle w:val="Prrafodelista"/>
        <w:numPr>
          <w:ilvl w:val="0"/>
          <w:numId w:val="10"/>
        </w:numPr>
        <w:spacing w:after="0"/>
        <w:jc w:val="both"/>
        <w:rPr>
          <w:lang w:val="es-ES_tradnl"/>
        </w:rPr>
      </w:pPr>
      <w:r>
        <w:rPr>
          <w:lang w:val="es-ES_tradnl"/>
        </w:rPr>
        <w:t xml:space="preserve">68,995 </w:t>
      </w:r>
      <w:r w:rsidRPr="009D26EC">
        <w:rPr>
          <w:lang w:val="es-ES_tradnl"/>
        </w:rPr>
        <w:t xml:space="preserve">miembros de familias PROSOLI </w:t>
      </w:r>
      <w:r>
        <w:rPr>
          <w:lang w:val="es-ES_tradnl"/>
        </w:rPr>
        <w:t>fueron integrados</w:t>
      </w:r>
      <w:r w:rsidRPr="009D26EC">
        <w:rPr>
          <w:lang w:val="es-ES_tradnl"/>
        </w:rPr>
        <w:t xml:space="preserve"> en actividades deportivas, recreativas, culturales y de expresión artística.</w:t>
      </w:r>
    </w:p>
    <w:p w:rsidR="00BD1845" w:rsidRDefault="00BD1845" w:rsidP="00BD1845">
      <w:pPr>
        <w:pStyle w:val="Prrafodelista"/>
        <w:spacing w:after="0"/>
        <w:jc w:val="both"/>
        <w:rPr>
          <w:lang w:val="es-ES_tradnl"/>
        </w:rPr>
      </w:pPr>
    </w:p>
    <w:p w:rsidR="00F933CC" w:rsidRDefault="00F933CC" w:rsidP="00AF4745">
      <w:pPr>
        <w:pStyle w:val="Prrafodelista"/>
        <w:numPr>
          <w:ilvl w:val="0"/>
          <w:numId w:val="10"/>
        </w:numPr>
        <w:spacing w:after="0"/>
        <w:jc w:val="both"/>
        <w:rPr>
          <w:lang w:val="es-ES_tradnl"/>
        </w:rPr>
      </w:pPr>
      <w:r>
        <w:rPr>
          <w:lang w:val="es-ES_tradnl"/>
        </w:rPr>
        <w:t xml:space="preserve">1,388 </w:t>
      </w:r>
      <w:r w:rsidRPr="00AF4745">
        <w:rPr>
          <w:lang w:val="es-ES_tradnl"/>
        </w:rPr>
        <w:t>miembros de familias beneficiarias</w:t>
      </w:r>
      <w:r>
        <w:rPr>
          <w:lang w:val="es-ES_tradnl"/>
        </w:rPr>
        <w:t xml:space="preserve"> </w:t>
      </w:r>
      <w:r w:rsidR="00BD1845">
        <w:rPr>
          <w:lang w:val="es-ES_tradnl"/>
        </w:rPr>
        <w:t xml:space="preserve">fueron </w:t>
      </w:r>
      <w:r>
        <w:rPr>
          <w:lang w:val="es-ES_tradnl"/>
        </w:rPr>
        <w:t>integrados</w:t>
      </w:r>
      <w:r w:rsidRPr="00AF4745">
        <w:rPr>
          <w:lang w:val="es-ES_tradnl"/>
        </w:rPr>
        <w:t xml:space="preserve"> en los "Cine Fórum"  con películas sobre Valores.</w:t>
      </w:r>
    </w:p>
    <w:p w:rsidR="00F933CC" w:rsidRPr="00F933CC" w:rsidRDefault="00F933CC" w:rsidP="00F933CC">
      <w:pPr>
        <w:spacing w:after="0"/>
        <w:jc w:val="both"/>
        <w:rPr>
          <w:lang w:val="es-ES_tradnl"/>
        </w:rPr>
      </w:pPr>
    </w:p>
    <w:p w:rsidR="00F933CC" w:rsidRDefault="00F933CC" w:rsidP="0099706F">
      <w:pPr>
        <w:pStyle w:val="Prrafodelista"/>
        <w:numPr>
          <w:ilvl w:val="0"/>
          <w:numId w:val="10"/>
        </w:numPr>
        <w:spacing w:after="0"/>
        <w:jc w:val="both"/>
        <w:rPr>
          <w:lang w:val="es-ES_tradnl"/>
        </w:rPr>
      </w:pPr>
      <w:r>
        <w:rPr>
          <w:lang w:val="es-ES_tradnl"/>
        </w:rPr>
        <w:t xml:space="preserve">108 </w:t>
      </w:r>
      <w:r w:rsidRPr="0099706F">
        <w:rPr>
          <w:lang w:val="es-ES_tradnl"/>
        </w:rPr>
        <w:t>niños, niñas y adultos con autismo</w:t>
      </w:r>
      <w:r>
        <w:rPr>
          <w:lang w:val="es-ES_tradnl"/>
        </w:rPr>
        <w:t xml:space="preserve"> fueron  integrados</w:t>
      </w:r>
      <w:r w:rsidRPr="0099706F">
        <w:rPr>
          <w:lang w:val="es-ES_tradnl"/>
        </w:rPr>
        <w:t xml:space="preserve"> en las aulas inclusivas.</w:t>
      </w:r>
    </w:p>
    <w:p w:rsidR="00DB259A" w:rsidRPr="00732158" w:rsidRDefault="00DB259A" w:rsidP="00D659B9">
      <w:pPr>
        <w:spacing w:after="0"/>
        <w:rPr>
          <w:lang w:val="es-ES_tradnl"/>
        </w:rPr>
      </w:pPr>
    </w:p>
    <w:p w:rsidR="00500770" w:rsidRPr="00D6399F" w:rsidRDefault="00500770" w:rsidP="00500770">
      <w:pPr>
        <w:pStyle w:val="Sinespaciado"/>
        <w:rPr>
          <w:b/>
        </w:rPr>
      </w:pPr>
      <w:r w:rsidRPr="00D6399F">
        <w:rPr>
          <w:b/>
        </w:rPr>
        <w:t xml:space="preserve">Acceso a las TIC´s y Reducción de la Brecha Digital   </w:t>
      </w:r>
    </w:p>
    <w:p w:rsidR="00500770" w:rsidRPr="00D6399F" w:rsidRDefault="00500770" w:rsidP="00500770">
      <w:pPr>
        <w:jc w:val="both"/>
      </w:pPr>
      <w:r>
        <w:t>El Programa Progresando con Solidaridad pone énfasis especial en la capacitación y acceso  a las Tecnologías de la Información de cada miembro de las Familias Progresando.</w:t>
      </w:r>
    </w:p>
    <w:p w:rsidR="00D201EE" w:rsidRDefault="0091671D" w:rsidP="00A82EB6">
      <w:pPr>
        <w:pStyle w:val="Prrafodelista"/>
        <w:numPr>
          <w:ilvl w:val="0"/>
          <w:numId w:val="11"/>
        </w:numPr>
        <w:spacing w:after="0"/>
        <w:jc w:val="both"/>
      </w:pPr>
      <w:r>
        <w:t xml:space="preserve">Fueron </w:t>
      </w:r>
      <w:r w:rsidR="00C069EF">
        <w:t>m</w:t>
      </w:r>
      <w:r w:rsidR="00C069EF" w:rsidRPr="00C069EF">
        <w:t>otiva</w:t>
      </w:r>
      <w:r w:rsidR="00C069EF">
        <w:t xml:space="preserve">dos </w:t>
      </w:r>
      <w:r w:rsidR="00732158">
        <w:t xml:space="preserve">20,087 </w:t>
      </w:r>
      <w:r w:rsidR="00C069EF" w:rsidRPr="00C069EF">
        <w:t>miembros</w:t>
      </w:r>
      <w:r w:rsidR="00C069EF">
        <w:t xml:space="preserve"> de familias beneficiarias</w:t>
      </w:r>
      <w:r w:rsidR="00C069EF" w:rsidRPr="00C069EF">
        <w:t xml:space="preserve"> para que accedan a los cursos de TIC</w:t>
      </w:r>
      <w:r w:rsidR="00C069EF">
        <w:t>.</w:t>
      </w:r>
    </w:p>
    <w:p w:rsidR="0068254F" w:rsidRDefault="0068254F" w:rsidP="0068254F">
      <w:pPr>
        <w:pStyle w:val="Prrafodelista"/>
        <w:spacing w:after="0"/>
        <w:jc w:val="both"/>
      </w:pPr>
    </w:p>
    <w:p w:rsidR="0068254F" w:rsidRDefault="0068254F" w:rsidP="0068254F">
      <w:pPr>
        <w:pStyle w:val="Sinespaciado"/>
        <w:rPr>
          <w:b/>
        </w:rPr>
      </w:pPr>
      <w:r w:rsidRPr="0068254F">
        <w:rPr>
          <w:b/>
        </w:rPr>
        <w:t xml:space="preserve">Habitabilidad y </w:t>
      </w:r>
      <w:r w:rsidR="00D659B9">
        <w:rPr>
          <w:b/>
        </w:rPr>
        <w:t xml:space="preserve">Protección del </w:t>
      </w:r>
      <w:r w:rsidRPr="0068254F">
        <w:rPr>
          <w:b/>
        </w:rPr>
        <w:t>Medio Ambiente</w:t>
      </w:r>
      <w:r w:rsidR="006368D4">
        <w:rPr>
          <w:b/>
        </w:rPr>
        <w:t>:</w:t>
      </w:r>
    </w:p>
    <w:p w:rsidR="009479CE" w:rsidRDefault="009479CE" w:rsidP="0068254F">
      <w:pPr>
        <w:pStyle w:val="Sinespaciado"/>
        <w:rPr>
          <w:b/>
        </w:rPr>
      </w:pPr>
    </w:p>
    <w:p w:rsidR="009479CE" w:rsidRDefault="009479CE" w:rsidP="006368D4">
      <w:pPr>
        <w:pStyle w:val="Sinespaciado"/>
        <w:numPr>
          <w:ilvl w:val="0"/>
          <w:numId w:val="26"/>
        </w:numPr>
        <w:spacing w:after="240"/>
        <w:jc w:val="both"/>
        <w:rPr>
          <w:rFonts w:eastAsia="MS Mincho"/>
        </w:rPr>
      </w:pPr>
      <w:r w:rsidRPr="009479CE">
        <w:rPr>
          <w:rFonts w:eastAsia="MS Mincho"/>
        </w:rPr>
        <w:t>843,945 familias beneficiarias recib</w:t>
      </w:r>
      <w:r w:rsidR="00D659B9">
        <w:rPr>
          <w:rFonts w:eastAsia="MS Mincho"/>
        </w:rPr>
        <w:t xml:space="preserve">ieron RD$ </w:t>
      </w:r>
      <w:r w:rsidR="006368D4">
        <w:rPr>
          <w:rFonts w:eastAsia="MS Mincho"/>
        </w:rPr>
        <w:t>2</w:t>
      </w:r>
      <w:r w:rsidR="00D659B9">
        <w:rPr>
          <w:rFonts w:eastAsia="MS Mincho"/>
        </w:rPr>
        <w:t xml:space="preserve">25.00 </w:t>
      </w:r>
      <w:r w:rsidR="006368D4">
        <w:rPr>
          <w:rFonts w:eastAsia="MS Mincho"/>
        </w:rPr>
        <w:t>mensuales</w:t>
      </w:r>
      <w:r w:rsidR="00D659B9">
        <w:rPr>
          <w:rFonts w:eastAsia="MS Mincho"/>
        </w:rPr>
        <w:t xml:space="preserve"> </w:t>
      </w:r>
      <w:r w:rsidR="006368D4">
        <w:rPr>
          <w:rFonts w:eastAsia="MS Mincho"/>
        </w:rPr>
        <w:t xml:space="preserve">mediante el </w:t>
      </w:r>
      <w:r w:rsidRPr="009479CE">
        <w:rPr>
          <w:rFonts w:eastAsia="MS Mincho"/>
        </w:rPr>
        <w:t>subsidio</w:t>
      </w:r>
      <w:r w:rsidR="00D659B9">
        <w:rPr>
          <w:rFonts w:eastAsia="MS Mincho"/>
        </w:rPr>
        <w:t xml:space="preserve"> Bono</w:t>
      </w:r>
      <w:r w:rsidR="006368D4">
        <w:rPr>
          <w:rFonts w:eastAsia="MS Mincho"/>
        </w:rPr>
        <w:t>-</w:t>
      </w:r>
      <w:r w:rsidR="00D659B9">
        <w:rPr>
          <w:rFonts w:eastAsia="MS Mincho"/>
        </w:rPr>
        <w:t>Gas</w:t>
      </w:r>
      <w:r w:rsidR="006368D4">
        <w:rPr>
          <w:rFonts w:eastAsia="MS Mincho"/>
        </w:rPr>
        <w:t xml:space="preserve"> Hogar, destinado al</w:t>
      </w:r>
      <w:r w:rsidR="00D659B9">
        <w:rPr>
          <w:rFonts w:eastAsia="MS Mincho"/>
        </w:rPr>
        <w:t xml:space="preserve"> uso domestico  </w:t>
      </w:r>
    </w:p>
    <w:p w:rsidR="009479CE" w:rsidRPr="009479CE" w:rsidRDefault="009479CE" w:rsidP="009479CE">
      <w:pPr>
        <w:pStyle w:val="Sinespaciado"/>
        <w:numPr>
          <w:ilvl w:val="0"/>
          <w:numId w:val="26"/>
        </w:numPr>
        <w:spacing w:after="240"/>
        <w:rPr>
          <w:rFonts w:eastAsia="MS Mincho"/>
        </w:rPr>
      </w:pPr>
      <w:r w:rsidRPr="009479CE">
        <w:rPr>
          <w:rFonts w:eastAsia="MS Mincho"/>
        </w:rPr>
        <w:t>461,19</w:t>
      </w:r>
      <w:r w:rsidR="006368D4">
        <w:rPr>
          <w:rFonts w:eastAsia="MS Mincho"/>
        </w:rPr>
        <w:t>1 familias beneficiarias recibieron</w:t>
      </w:r>
      <w:r w:rsidRPr="009479CE">
        <w:rPr>
          <w:rFonts w:eastAsia="MS Mincho"/>
        </w:rPr>
        <w:t xml:space="preserve"> el subsidio</w:t>
      </w:r>
      <w:r w:rsidR="006368D4">
        <w:rPr>
          <w:rFonts w:eastAsia="MS Mincho"/>
        </w:rPr>
        <w:t xml:space="preserve"> a la tarifa eléctrica, a través de </w:t>
      </w:r>
      <w:r w:rsidRPr="009479CE">
        <w:rPr>
          <w:rFonts w:eastAsia="MS Mincho"/>
        </w:rPr>
        <w:t>Bono</w:t>
      </w:r>
      <w:r w:rsidR="006368D4">
        <w:rPr>
          <w:rFonts w:eastAsia="MS Mincho"/>
        </w:rPr>
        <w:t>-</w:t>
      </w:r>
      <w:r w:rsidRPr="009479CE">
        <w:rPr>
          <w:rFonts w:eastAsia="MS Mincho"/>
        </w:rPr>
        <w:t>Luz.</w:t>
      </w:r>
    </w:p>
    <w:p w:rsidR="009479CE" w:rsidRDefault="009479CE" w:rsidP="006368D4">
      <w:pPr>
        <w:pStyle w:val="Sinespaciado"/>
        <w:numPr>
          <w:ilvl w:val="0"/>
          <w:numId w:val="26"/>
        </w:numPr>
        <w:rPr>
          <w:rFonts w:eastAsia="MS Mincho"/>
        </w:rPr>
      </w:pPr>
      <w:r>
        <w:rPr>
          <w:rFonts w:eastAsia="MS Mincho"/>
        </w:rPr>
        <w:t>48,815 plantas de árboles frutales y ornamentales fueron distri</w:t>
      </w:r>
      <w:r w:rsidR="006368D4">
        <w:rPr>
          <w:rFonts w:eastAsia="MS Mincho"/>
        </w:rPr>
        <w:t>buidas a familias beneficiarias, a través del operativo nacional de reforestación.</w:t>
      </w:r>
    </w:p>
    <w:p w:rsidR="009479CE" w:rsidRPr="009479CE" w:rsidRDefault="009479CE" w:rsidP="006368D4">
      <w:pPr>
        <w:pStyle w:val="Sinespaciado"/>
        <w:ind w:left="720"/>
        <w:rPr>
          <w:rFonts w:eastAsia="MS Mincho"/>
        </w:rPr>
      </w:pPr>
    </w:p>
    <w:p w:rsidR="00D201EE" w:rsidRDefault="00D201EE" w:rsidP="00D201EE">
      <w:pPr>
        <w:ind w:left="360"/>
        <w:rPr>
          <w:b/>
        </w:rPr>
      </w:pPr>
      <w:r w:rsidRPr="00B53D72">
        <w:rPr>
          <w:b/>
        </w:rPr>
        <w:t>AVANCES EN PROYECTO FAMILIAS EN PAZ</w:t>
      </w:r>
    </w:p>
    <w:p w:rsidR="00DF59F8" w:rsidRPr="004F7DB8" w:rsidRDefault="00DF59F8" w:rsidP="00DF59F8">
      <w:pPr>
        <w:ind w:left="360"/>
        <w:jc w:val="both"/>
      </w:pPr>
      <w:r w:rsidRPr="004F7DB8">
        <w:t>El proyecto Familias en Paz ha sido concebido con el objetivo de prevenir y reducir la violencia intrafamiliar y de género en los hogares con un elevado nivel de pobreza del país.</w:t>
      </w:r>
      <w:r>
        <w:t xml:space="preserve"> </w:t>
      </w:r>
      <w:r w:rsidRPr="004F7DB8">
        <w:t>Esta iniciativa, se enmarca asimismo dentro del programa Progresando con Solidaridad desarrollado por la Vicepresidencia de la República Dominicana.</w:t>
      </w:r>
    </w:p>
    <w:p w:rsidR="00DF59F8" w:rsidRDefault="00DF59F8" w:rsidP="00DF59F8">
      <w:pPr>
        <w:ind w:left="360"/>
        <w:jc w:val="both"/>
      </w:pPr>
      <w:r w:rsidRPr="004F7DB8">
        <w:t xml:space="preserve">Con este proyecto se busca promover un cambio cultural en la ciudadanía, en especial en familias que viven en pobreza y pobreza extrema con relación a las desigualdades de género y la eliminación de los estereotipos, de forma tal que se logre la sana convivencia en las familias y el respeto a los derechos de cada uno de sus integrantes. </w:t>
      </w:r>
    </w:p>
    <w:p w:rsidR="00B53D72" w:rsidRDefault="00B53D72" w:rsidP="00B53D72">
      <w:pPr>
        <w:ind w:firstLine="360"/>
        <w:jc w:val="both"/>
        <w:rPr>
          <w:bCs/>
        </w:rPr>
      </w:pPr>
      <w:r w:rsidRPr="008F7689">
        <w:rPr>
          <w:bCs/>
        </w:rPr>
        <w:lastRenderedPageBreak/>
        <w:t xml:space="preserve">Entre los </w:t>
      </w:r>
      <w:r w:rsidRPr="00D10955">
        <w:rPr>
          <w:bCs/>
        </w:rPr>
        <w:t xml:space="preserve">principales resultados alcanzados en </w:t>
      </w:r>
      <w:r>
        <w:rPr>
          <w:bCs/>
        </w:rPr>
        <w:t>este proyecto</w:t>
      </w:r>
      <w:r w:rsidRPr="00D10955">
        <w:rPr>
          <w:bCs/>
        </w:rPr>
        <w:t xml:space="preserve"> se encuentran:</w:t>
      </w:r>
    </w:p>
    <w:p w:rsidR="00112C1A" w:rsidRDefault="00A82EB6" w:rsidP="00A82EB6">
      <w:pPr>
        <w:pStyle w:val="Prrafodelista"/>
        <w:numPr>
          <w:ilvl w:val="0"/>
          <w:numId w:val="25"/>
        </w:numPr>
      </w:pPr>
      <w:r>
        <w:t xml:space="preserve">804 </w:t>
      </w:r>
      <w:r w:rsidRPr="00A82EB6">
        <w:t xml:space="preserve">jornadas de capacitación </w:t>
      </w:r>
      <w:r>
        <w:t xml:space="preserve">se impartieron </w:t>
      </w:r>
      <w:r w:rsidRPr="00A82EB6">
        <w:t>a 8,000 hombres miembros de familias como multiplicadores para la promoción de la paz y el respeto a la mujer</w:t>
      </w:r>
      <w:r>
        <w:t>.</w:t>
      </w:r>
    </w:p>
    <w:p w:rsidR="00A82EB6" w:rsidRDefault="00A82EB6" w:rsidP="00A82EB6">
      <w:pPr>
        <w:pStyle w:val="Prrafodelista"/>
        <w:ind w:left="1069"/>
      </w:pPr>
    </w:p>
    <w:p w:rsidR="00A82EB6" w:rsidRDefault="00A82EB6" w:rsidP="006368D4">
      <w:pPr>
        <w:pStyle w:val="Prrafodelista"/>
        <w:numPr>
          <w:ilvl w:val="0"/>
          <w:numId w:val="25"/>
        </w:numPr>
        <w:spacing w:after="0"/>
      </w:pPr>
      <w:r>
        <w:t xml:space="preserve">Fueron formados 1,834 </w:t>
      </w:r>
      <w:r w:rsidRPr="00A82EB6">
        <w:t>supervisores de enlaces en resolución de conflictos y prevención de violencia conjuntamente con Ministerio de la Mujer / DSC: /  DSC:</w:t>
      </w: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6368D4" w:rsidRDefault="006368D4" w:rsidP="00112C1A">
      <w:pPr>
        <w:spacing w:after="0"/>
        <w:jc w:val="both"/>
        <w:rPr>
          <w:b/>
        </w:rPr>
      </w:pPr>
    </w:p>
    <w:p w:rsidR="002239FF" w:rsidRDefault="002239FF">
      <w:pPr>
        <w:rPr>
          <w:b/>
        </w:rPr>
      </w:pPr>
      <w:r>
        <w:rPr>
          <w:b/>
        </w:rPr>
        <w:br w:type="page"/>
      </w:r>
    </w:p>
    <w:p w:rsidR="006368D4" w:rsidRDefault="002239FF" w:rsidP="002239FF">
      <w:pPr>
        <w:spacing w:after="0"/>
        <w:jc w:val="center"/>
        <w:rPr>
          <w:b/>
        </w:rPr>
      </w:pPr>
      <w:r>
        <w:rPr>
          <w:b/>
        </w:rPr>
        <w:lastRenderedPageBreak/>
        <w:t>ANEXO</w:t>
      </w:r>
      <w:r w:rsidR="006368D4">
        <w:rPr>
          <w:b/>
        </w:rPr>
        <w:t>:</w:t>
      </w:r>
    </w:p>
    <w:p w:rsidR="006368D4" w:rsidRDefault="006368D4" w:rsidP="00112C1A">
      <w:pPr>
        <w:spacing w:after="0"/>
        <w:jc w:val="both"/>
        <w:rPr>
          <w:b/>
        </w:rPr>
      </w:pPr>
    </w:p>
    <w:p w:rsidR="00112C1A" w:rsidRDefault="00112C1A" w:rsidP="00112C1A">
      <w:pPr>
        <w:spacing w:after="0"/>
        <w:jc w:val="both"/>
        <w:rPr>
          <w:b/>
        </w:rPr>
      </w:pPr>
      <w:r>
        <w:rPr>
          <w:b/>
        </w:rPr>
        <w:t xml:space="preserve">CUMPLIMIENTO DE METAS INSTITUCIONALES </w:t>
      </w:r>
    </w:p>
    <w:p w:rsidR="006368D4" w:rsidRPr="00BD1845" w:rsidRDefault="006368D4" w:rsidP="00BD1845">
      <w:pPr>
        <w:spacing w:after="0" w:line="240" w:lineRule="auto"/>
        <w:jc w:val="both"/>
        <w:rPr>
          <w:b/>
          <w:sz w:val="16"/>
        </w:rPr>
      </w:pPr>
    </w:p>
    <w:tbl>
      <w:tblPr>
        <w:tblW w:w="9872" w:type="dxa"/>
        <w:tblInd w:w="-356" w:type="dxa"/>
        <w:tblCellMar>
          <w:left w:w="70" w:type="dxa"/>
          <w:right w:w="70" w:type="dxa"/>
        </w:tblCellMar>
        <w:tblLook w:val="04A0" w:firstRow="1" w:lastRow="0" w:firstColumn="1" w:lastColumn="0" w:noHBand="0" w:noVBand="1"/>
      </w:tblPr>
      <w:tblGrid>
        <w:gridCol w:w="2786"/>
        <w:gridCol w:w="1174"/>
        <w:gridCol w:w="963"/>
        <w:gridCol w:w="1130"/>
        <w:gridCol w:w="1115"/>
        <w:gridCol w:w="1311"/>
        <w:gridCol w:w="1395"/>
      </w:tblGrid>
      <w:tr w:rsidR="0043475C" w:rsidRPr="00E36023" w:rsidTr="006368D4">
        <w:trPr>
          <w:trHeight w:val="300"/>
        </w:trPr>
        <w:tc>
          <w:tcPr>
            <w:tcW w:w="9872" w:type="dxa"/>
            <w:gridSpan w:val="7"/>
            <w:tcBorders>
              <w:top w:val="nil"/>
              <w:left w:val="nil"/>
              <w:bottom w:val="nil"/>
              <w:right w:val="nil"/>
            </w:tcBorders>
            <w:shd w:val="clear" w:color="auto" w:fill="auto"/>
            <w:noWrap/>
            <w:vAlign w:val="bottom"/>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CUMPLIMIENTO DE METAS 3ER. TRIMESTRE 2014</w:t>
            </w:r>
          </w:p>
        </w:tc>
      </w:tr>
      <w:tr w:rsidR="0043475C" w:rsidRPr="00E36023" w:rsidTr="006368D4">
        <w:trPr>
          <w:trHeight w:val="300"/>
        </w:trPr>
        <w:tc>
          <w:tcPr>
            <w:tcW w:w="9872" w:type="dxa"/>
            <w:gridSpan w:val="7"/>
            <w:tcBorders>
              <w:top w:val="nil"/>
              <w:left w:val="nil"/>
              <w:bottom w:val="nil"/>
              <w:right w:val="nil"/>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PRODUCTOS INTERMEDIOS Y ACTIVIDADES</w:t>
            </w:r>
          </w:p>
        </w:tc>
      </w:tr>
      <w:tr w:rsidR="0043475C" w:rsidRPr="00E36023" w:rsidTr="006368D4">
        <w:trPr>
          <w:trHeight w:val="900"/>
        </w:trPr>
        <w:tc>
          <w:tcPr>
            <w:tcW w:w="2786" w:type="dxa"/>
            <w:tcBorders>
              <w:top w:val="single" w:sz="4" w:space="0" w:color="D9D9D9"/>
              <w:left w:val="single" w:sz="4" w:space="0" w:color="D9D9D9"/>
              <w:bottom w:val="single" w:sz="4" w:space="0" w:color="D9D9D9"/>
              <w:right w:val="single" w:sz="4" w:space="0" w:color="D9D9D9"/>
            </w:tcBorders>
            <w:shd w:val="clear" w:color="000000" w:fill="F2F2F2"/>
            <w:noWrap/>
            <w:vAlign w:val="center"/>
            <w:hideMark/>
          </w:tcPr>
          <w:p w:rsidR="0043475C" w:rsidRPr="00E36023" w:rsidRDefault="00FC7AF0"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Área</w:t>
            </w:r>
          </w:p>
        </w:tc>
        <w:tc>
          <w:tcPr>
            <w:tcW w:w="0" w:type="auto"/>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Cantidad de Indicadores</w:t>
            </w:r>
          </w:p>
        </w:tc>
        <w:tc>
          <w:tcPr>
            <w:tcW w:w="0" w:type="auto"/>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Ponderado</w:t>
            </w:r>
          </w:p>
        </w:tc>
        <w:tc>
          <w:tcPr>
            <w:tcW w:w="0" w:type="auto"/>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FF0000"/>
                <w:sz w:val="18"/>
                <w:lang w:eastAsia="es-DO"/>
              </w:rPr>
            </w:pPr>
            <w:r w:rsidRPr="00E36023">
              <w:rPr>
                <w:rFonts w:ascii="Calibri" w:eastAsia="Times New Roman" w:hAnsi="Calibri" w:cs="Times New Roman"/>
                <w:b/>
                <w:bCs/>
                <w:color w:val="FF0000"/>
                <w:sz w:val="18"/>
                <w:lang w:eastAsia="es-DO"/>
              </w:rPr>
              <w:t># Indicadores Rojo</w:t>
            </w:r>
          </w:p>
        </w:tc>
        <w:tc>
          <w:tcPr>
            <w:tcW w:w="0" w:type="auto"/>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00B050"/>
                <w:sz w:val="18"/>
                <w:lang w:eastAsia="es-DO"/>
              </w:rPr>
            </w:pPr>
            <w:r w:rsidRPr="00E36023">
              <w:rPr>
                <w:rFonts w:ascii="Calibri" w:eastAsia="Times New Roman" w:hAnsi="Calibri" w:cs="Times New Roman"/>
                <w:b/>
                <w:bCs/>
                <w:color w:val="00B050"/>
                <w:sz w:val="18"/>
                <w:lang w:eastAsia="es-DO"/>
              </w:rPr>
              <w:t># Indicadores Verde</w:t>
            </w:r>
          </w:p>
        </w:tc>
        <w:tc>
          <w:tcPr>
            <w:tcW w:w="0" w:type="auto"/>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00B050"/>
                <w:sz w:val="18"/>
                <w:lang w:eastAsia="es-DO"/>
              </w:rPr>
            </w:pPr>
            <w:r w:rsidRPr="00E36023">
              <w:rPr>
                <w:rFonts w:ascii="Calibri" w:eastAsia="Times New Roman" w:hAnsi="Calibri" w:cs="Times New Roman"/>
                <w:b/>
                <w:bCs/>
                <w:color w:val="00B050"/>
                <w:sz w:val="18"/>
                <w:lang w:eastAsia="es-DO"/>
              </w:rPr>
              <w:t>Índice de Cumplimiento Simple</w:t>
            </w:r>
          </w:p>
        </w:tc>
        <w:tc>
          <w:tcPr>
            <w:tcW w:w="1395" w:type="dxa"/>
            <w:tcBorders>
              <w:top w:val="single" w:sz="4" w:space="0" w:color="D9D9D9"/>
              <w:left w:val="nil"/>
              <w:bottom w:val="single" w:sz="4" w:space="0" w:color="D9D9D9"/>
              <w:right w:val="single" w:sz="4" w:space="0" w:color="D9D9D9"/>
            </w:tcBorders>
            <w:shd w:val="clear" w:color="000000" w:fill="F2F2F2"/>
            <w:vAlign w:val="center"/>
            <w:hideMark/>
          </w:tcPr>
          <w:p w:rsidR="0043475C" w:rsidRPr="00E36023" w:rsidRDefault="0043475C" w:rsidP="0043475C">
            <w:pPr>
              <w:spacing w:after="0" w:line="240" w:lineRule="auto"/>
              <w:jc w:val="center"/>
              <w:rPr>
                <w:rFonts w:ascii="Calibri" w:eastAsia="Times New Roman" w:hAnsi="Calibri" w:cs="Times New Roman"/>
                <w:b/>
                <w:bCs/>
                <w:color w:val="00B050"/>
                <w:sz w:val="18"/>
                <w:lang w:eastAsia="es-DO"/>
              </w:rPr>
            </w:pPr>
            <w:r w:rsidRPr="00E36023">
              <w:rPr>
                <w:rFonts w:ascii="Calibri" w:eastAsia="Times New Roman" w:hAnsi="Calibri" w:cs="Times New Roman"/>
                <w:b/>
                <w:bCs/>
                <w:color w:val="00B050"/>
                <w:sz w:val="18"/>
                <w:lang w:eastAsia="es-DO"/>
              </w:rPr>
              <w:t>Índice de Cumplimiento (Peso Ponderado)</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176E77"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Jóvenes</w:t>
            </w:r>
            <w:r w:rsidR="0043475C" w:rsidRPr="00E36023">
              <w:rPr>
                <w:rFonts w:ascii="Calibri" w:eastAsia="Times New Roman" w:hAnsi="Calibri" w:cs="Times New Roman"/>
                <w:color w:val="000000"/>
                <w:sz w:val="18"/>
                <w:lang w:eastAsia="es-DO"/>
              </w:rPr>
              <w:t xml:space="preserve"> PROSOLI</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22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0.183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9</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59.1%</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10.8%</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Proyectos Sociales</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0.092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9</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81.8%</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7.5%</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176E77"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Dirección</w:t>
            </w:r>
            <w:r w:rsidR="0043475C" w:rsidRPr="00E36023">
              <w:rPr>
                <w:rFonts w:ascii="Calibri" w:eastAsia="Times New Roman" w:hAnsi="Calibri" w:cs="Times New Roman"/>
                <w:color w:val="000000"/>
                <w:sz w:val="18"/>
                <w:lang w:eastAsia="es-DO"/>
              </w:rPr>
              <w:t xml:space="preserve"> de </w:t>
            </w:r>
            <w:r w:rsidRPr="00E36023">
              <w:rPr>
                <w:rFonts w:ascii="Calibri" w:eastAsia="Times New Roman" w:hAnsi="Calibri" w:cs="Times New Roman"/>
                <w:color w:val="000000"/>
                <w:sz w:val="18"/>
                <w:lang w:eastAsia="es-DO"/>
              </w:rPr>
              <w:t>Capacitación</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18</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0.150</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10</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8</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44.4%</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6.7%</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Proyecto Sociocultural</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0.142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70.6%</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10.0%</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Proyecto Niños/as y Adolescentes</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0.058</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4</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42.9%</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2.5%</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Familias en Paz</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6</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0.050</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16.7%</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0.8%</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 xml:space="preserve">Unidad de </w:t>
            </w:r>
            <w:r w:rsidR="00176E77" w:rsidRPr="00E36023">
              <w:rPr>
                <w:rFonts w:ascii="Calibri" w:eastAsia="Times New Roman" w:hAnsi="Calibri" w:cs="Times New Roman"/>
                <w:color w:val="000000"/>
                <w:sz w:val="18"/>
                <w:lang w:eastAsia="es-DO"/>
              </w:rPr>
              <w:t>Inclusión</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4</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0.033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75.0%</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2.5%</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Desarrollo Agropecuario</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0.042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4</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80.0%</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3.3%</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Subdirección</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0.017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50.0%</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0.8%</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Vinculación Interinstitucional</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0.142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12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70.6%</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10.0%</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Educación y Salud Preventiva</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4</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0.033</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2</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50.0%</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1.7%</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 xml:space="preserve">Genero e </w:t>
            </w:r>
            <w:r w:rsidR="00176E77" w:rsidRPr="00E36023">
              <w:rPr>
                <w:rFonts w:ascii="Calibri" w:eastAsia="Times New Roman" w:hAnsi="Calibri" w:cs="Times New Roman"/>
                <w:color w:val="000000"/>
                <w:sz w:val="18"/>
                <w:lang w:eastAsia="es-DO"/>
              </w:rPr>
              <w:t>Inclusión</w:t>
            </w:r>
            <w:r w:rsidRPr="00E36023">
              <w:rPr>
                <w:rFonts w:ascii="Calibri" w:eastAsia="Times New Roman" w:hAnsi="Calibri" w:cs="Times New Roman"/>
                <w:color w:val="000000"/>
                <w:sz w:val="18"/>
                <w:lang w:eastAsia="es-DO"/>
              </w:rPr>
              <w:t xml:space="preserve"> Financiera</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0.058</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0</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7</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100.0%</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sz w:val="18"/>
                <w:lang w:eastAsia="es-DO"/>
              </w:rPr>
            </w:pPr>
            <w:r w:rsidRPr="00E36023">
              <w:rPr>
                <w:rFonts w:ascii="Calibri" w:eastAsia="Times New Roman" w:hAnsi="Calibri" w:cs="Times New Roman"/>
                <w:sz w:val="18"/>
                <w:lang w:eastAsia="es-DO"/>
              </w:rPr>
              <w:t>5.8%</w:t>
            </w:r>
          </w:p>
        </w:tc>
      </w:tr>
      <w:tr w:rsidR="0043475C" w:rsidRPr="00E36023" w:rsidTr="006368D4">
        <w:trPr>
          <w:trHeight w:val="300"/>
        </w:trPr>
        <w:tc>
          <w:tcPr>
            <w:tcW w:w="2786" w:type="dxa"/>
            <w:tcBorders>
              <w:top w:val="nil"/>
              <w:left w:val="single" w:sz="4" w:space="0" w:color="D9D9D9"/>
              <w:bottom w:val="single" w:sz="4" w:space="0" w:color="D9D9D9"/>
              <w:right w:val="single" w:sz="4" w:space="0" w:color="D9D9D9"/>
            </w:tcBorders>
            <w:shd w:val="clear" w:color="auto" w:fill="auto"/>
            <w:noWrap/>
            <w:vAlign w:val="bottom"/>
            <w:hideMark/>
          </w:tcPr>
          <w:p w:rsidR="0043475C" w:rsidRPr="00E36023" w:rsidRDefault="0043475C" w:rsidP="0043475C">
            <w:pPr>
              <w:spacing w:after="0" w:line="240" w:lineRule="auto"/>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Total de Indicadores</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120</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 </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45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color w:val="000000"/>
                <w:sz w:val="18"/>
                <w:lang w:eastAsia="es-DO"/>
              </w:rPr>
            </w:pPr>
            <w:r w:rsidRPr="00E36023">
              <w:rPr>
                <w:rFonts w:ascii="Calibri" w:eastAsia="Times New Roman" w:hAnsi="Calibri" w:cs="Times New Roman"/>
                <w:color w:val="000000"/>
                <w:sz w:val="18"/>
                <w:lang w:eastAsia="es-DO"/>
              </w:rPr>
              <w:t>75</w:t>
            </w:r>
          </w:p>
        </w:tc>
        <w:tc>
          <w:tcPr>
            <w:tcW w:w="0" w:type="auto"/>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62.5%</w:t>
            </w:r>
          </w:p>
        </w:tc>
        <w:tc>
          <w:tcPr>
            <w:tcW w:w="1395" w:type="dxa"/>
            <w:tcBorders>
              <w:top w:val="nil"/>
              <w:left w:val="nil"/>
              <w:bottom w:val="single" w:sz="4" w:space="0" w:color="D9D9D9"/>
              <w:right w:val="single" w:sz="4" w:space="0" w:color="D9D9D9"/>
            </w:tcBorders>
            <w:shd w:val="clear" w:color="auto" w:fill="auto"/>
            <w:noWrap/>
            <w:vAlign w:val="center"/>
            <w:hideMark/>
          </w:tcPr>
          <w:p w:rsidR="0043475C" w:rsidRPr="00E36023" w:rsidRDefault="0043475C" w:rsidP="0043475C">
            <w:pPr>
              <w:spacing w:after="0" w:line="240" w:lineRule="auto"/>
              <w:jc w:val="center"/>
              <w:rPr>
                <w:rFonts w:ascii="Calibri" w:eastAsia="Times New Roman" w:hAnsi="Calibri" w:cs="Times New Roman"/>
                <w:b/>
                <w:bCs/>
                <w:color w:val="000000"/>
                <w:sz w:val="18"/>
                <w:lang w:eastAsia="es-DO"/>
              </w:rPr>
            </w:pPr>
            <w:r w:rsidRPr="00E36023">
              <w:rPr>
                <w:rFonts w:ascii="Calibri" w:eastAsia="Times New Roman" w:hAnsi="Calibri" w:cs="Times New Roman"/>
                <w:b/>
                <w:bCs/>
                <w:color w:val="000000"/>
                <w:sz w:val="18"/>
                <w:lang w:eastAsia="es-DO"/>
              </w:rPr>
              <w:t> </w:t>
            </w:r>
          </w:p>
        </w:tc>
      </w:tr>
    </w:tbl>
    <w:p w:rsidR="0043475C" w:rsidRPr="00E36023" w:rsidRDefault="0043475C" w:rsidP="00112C1A">
      <w:pPr>
        <w:spacing w:after="0"/>
        <w:jc w:val="both"/>
        <w:rPr>
          <w:b/>
          <w:sz w:val="18"/>
        </w:rPr>
      </w:pPr>
    </w:p>
    <w:tbl>
      <w:tblPr>
        <w:tblW w:w="10774" w:type="dxa"/>
        <w:tblInd w:w="-781" w:type="dxa"/>
        <w:tblLayout w:type="fixed"/>
        <w:tblCellMar>
          <w:left w:w="70" w:type="dxa"/>
          <w:right w:w="70" w:type="dxa"/>
        </w:tblCellMar>
        <w:tblLook w:val="04A0" w:firstRow="1" w:lastRow="0" w:firstColumn="1" w:lastColumn="0" w:noHBand="0" w:noVBand="1"/>
      </w:tblPr>
      <w:tblGrid>
        <w:gridCol w:w="1418"/>
        <w:gridCol w:w="993"/>
        <w:gridCol w:w="992"/>
        <w:gridCol w:w="767"/>
        <w:gridCol w:w="740"/>
        <w:gridCol w:w="740"/>
        <w:gridCol w:w="871"/>
        <w:gridCol w:w="851"/>
        <w:gridCol w:w="709"/>
        <w:gridCol w:w="850"/>
        <w:gridCol w:w="709"/>
        <w:gridCol w:w="1134"/>
      </w:tblGrid>
      <w:tr w:rsidR="0083743B" w:rsidRPr="00E36023" w:rsidTr="0083743B">
        <w:trPr>
          <w:trHeight w:val="300"/>
        </w:trPr>
        <w:tc>
          <w:tcPr>
            <w:tcW w:w="10774" w:type="dxa"/>
            <w:gridSpan w:val="12"/>
            <w:tcBorders>
              <w:top w:val="nil"/>
              <w:left w:val="nil"/>
              <w:bottom w:val="nil"/>
              <w:right w:val="nil"/>
            </w:tcBorders>
            <w:shd w:val="clear" w:color="auto" w:fill="auto"/>
            <w:noWrap/>
            <w:vAlign w:val="bottom"/>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r w:rsidRPr="00E36023">
              <w:rPr>
                <w:rFonts w:ascii="Calibri" w:eastAsia="Times New Roman" w:hAnsi="Calibri" w:cs="Times New Roman"/>
                <w:b/>
                <w:bCs/>
                <w:color w:val="000000"/>
                <w:sz w:val="16"/>
                <w:lang w:eastAsia="es-DO"/>
              </w:rPr>
              <w:t>CUMPLIMIENTO DE METAS 3ER. TRIMESTRE 2014</w:t>
            </w:r>
          </w:p>
        </w:tc>
      </w:tr>
      <w:tr w:rsidR="0083743B" w:rsidRPr="00E36023" w:rsidTr="0083743B">
        <w:trPr>
          <w:trHeight w:val="300"/>
        </w:trPr>
        <w:tc>
          <w:tcPr>
            <w:tcW w:w="10774" w:type="dxa"/>
            <w:gridSpan w:val="12"/>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r w:rsidRPr="00E36023">
              <w:rPr>
                <w:rFonts w:ascii="Calibri" w:eastAsia="Times New Roman" w:hAnsi="Calibri" w:cs="Times New Roman"/>
                <w:b/>
                <w:bCs/>
                <w:color w:val="000000"/>
                <w:sz w:val="16"/>
                <w:lang w:eastAsia="es-DO"/>
              </w:rPr>
              <w:t>PRODUCTOS FINALES ACUMULADOS AÑO A SEPTIEMBRE 2014</w:t>
            </w:r>
          </w:p>
        </w:tc>
      </w:tr>
      <w:tr w:rsidR="0083743B" w:rsidRPr="00E36023" w:rsidTr="006B3706">
        <w:trPr>
          <w:trHeight w:val="300"/>
        </w:trPr>
        <w:tc>
          <w:tcPr>
            <w:tcW w:w="1418"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993"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992"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767"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740"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740"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871" w:type="dxa"/>
            <w:tcBorders>
              <w:top w:val="nil"/>
              <w:left w:val="nil"/>
              <w:bottom w:val="nil"/>
              <w:right w:val="nil"/>
            </w:tcBorders>
            <w:shd w:val="clear" w:color="auto" w:fill="auto"/>
            <w:noWrap/>
            <w:vAlign w:val="center"/>
            <w:hideMark/>
          </w:tcPr>
          <w:p w:rsidR="0083743B" w:rsidRPr="00E36023" w:rsidRDefault="0083743B" w:rsidP="0083743B">
            <w:pPr>
              <w:spacing w:after="0" w:line="240" w:lineRule="auto"/>
              <w:jc w:val="center"/>
              <w:rPr>
                <w:rFonts w:ascii="Calibri" w:eastAsia="Times New Roman" w:hAnsi="Calibri" w:cs="Times New Roman"/>
                <w:b/>
                <w:bCs/>
                <w:color w:val="000000"/>
                <w:sz w:val="16"/>
                <w:lang w:eastAsia="es-DO"/>
              </w:rPr>
            </w:pPr>
          </w:p>
        </w:tc>
        <w:tc>
          <w:tcPr>
            <w:tcW w:w="851"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ascii="Calibri" w:eastAsia="Times New Roman" w:hAnsi="Calibri" w:cs="Times New Roman"/>
                <w:color w:val="000000"/>
                <w:sz w:val="16"/>
                <w:lang w:eastAsia="es-DO"/>
              </w:rPr>
            </w:pPr>
          </w:p>
        </w:tc>
        <w:tc>
          <w:tcPr>
            <w:tcW w:w="709"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ascii="Calibri" w:eastAsia="Times New Roman" w:hAnsi="Calibri" w:cs="Times New Roman"/>
                <w:color w:val="000000"/>
                <w:sz w:val="16"/>
                <w:lang w:eastAsia="es-DO"/>
              </w:rPr>
            </w:pPr>
          </w:p>
        </w:tc>
        <w:tc>
          <w:tcPr>
            <w:tcW w:w="850"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ascii="Calibri" w:eastAsia="Times New Roman" w:hAnsi="Calibri" w:cs="Times New Roman"/>
                <w:color w:val="000000"/>
                <w:sz w:val="16"/>
                <w:lang w:eastAsia="es-DO"/>
              </w:rPr>
            </w:pPr>
          </w:p>
        </w:tc>
        <w:tc>
          <w:tcPr>
            <w:tcW w:w="709"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ascii="Calibri" w:eastAsia="Times New Roman" w:hAnsi="Calibri" w:cs="Times New Roman"/>
                <w:color w:val="000000"/>
                <w:sz w:val="16"/>
                <w:lang w:eastAsia="es-DO"/>
              </w:rPr>
            </w:pPr>
          </w:p>
        </w:tc>
        <w:tc>
          <w:tcPr>
            <w:tcW w:w="1134"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ascii="Calibri" w:eastAsia="Times New Roman" w:hAnsi="Calibri" w:cs="Times New Roman"/>
                <w:color w:val="000000"/>
                <w:sz w:val="16"/>
                <w:lang w:eastAsia="es-DO"/>
              </w:rPr>
            </w:pPr>
          </w:p>
        </w:tc>
      </w:tr>
      <w:tr w:rsidR="0083743B" w:rsidRPr="00E36023" w:rsidTr="006B3706">
        <w:trPr>
          <w:trHeight w:val="1023"/>
        </w:trPr>
        <w:tc>
          <w:tcPr>
            <w:tcW w:w="1418"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Regional</w:t>
            </w:r>
          </w:p>
        </w:tc>
        <w:tc>
          <w:tcPr>
            <w:tcW w:w="993"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w:t>
            </w:r>
          </w:p>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Indicadores</w:t>
            </w:r>
          </w:p>
        </w:tc>
        <w:tc>
          <w:tcPr>
            <w:tcW w:w="992"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FF0000"/>
                <w:sz w:val="16"/>
                <w:lang w:eastAsia="es-DO"/>
              </w:rPr>
            </w:pPr>
            <w:r w:rsidRPr="00E36023">
              <w:rPr>
                <w:rFonts w:eastAsia="Times New Roman" w:cs="Times New Roman"/>
                <w:b/>
                <w:bCs/>
                <w:color w:val="FF0000"/>
                <w:sz w:val="16"/>
                <w:lang w:eastAsia="es-DO"/>
              </w:rPr>
              <w:t># Indicadores Rojo</w:t>
            </w:r>
          </w:p>
        </w:tc>
        <w:tc>
          <w:tcPr>
            <w:tcW w:w="767"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FFC000"/>
                <w:sz w:val="16"/>
                <w:lang w:eastAsia="es-DO"/>
              </w:rPr>
            </w:pPr>
            <w:r w:rsidRPr="00E36023">
              <w:rPr>
                <w:rFonts w:eastAsia="Times New Roman" w:cs="Times New Roman"/>
                <w:b/>
                <w:bCs/>
                <w:color w:val="FFC000"/>
                <w:sz w:val="16"/>
                <w:lang w:eastAsia="es-DO"/>
              </w:rPr>
              <w:t># Indicadores Amarillo</w:t>
            </w:r>
          </w:p>
        </w:tc>
        <w:tc>
          <w:tcPr>
            <w:tcW w:w="740"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 Indicadores Verde</w:t>
            </w:r>
          </w:p>
        </w:tc>
        <w:tc>
          <w:tcPr>
            <w:tcW w:w="740"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 Indicadores verde del POA</w:t>
            </w:r>
          </w:p>
        </w:tc>
        <w:tc>
          <w:tcPr>
            <w:tcW w:w="871"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 logrado metas POA</w:t>
            </w:r>
          </w:p>
        </w:tc>
        <w:tc>
          <w:tcPr>
            <w:tcW w:w="851"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 xml:space="preserve">Indice Calidad </w:t>
            </w:r>
            <w:r w:rsidR="00FC7AF0">
              <w:rPr>
                <w:rFonts w:eastAsia="Times New Roman" w:cs="Times New Roman"/>
                <w:b/>
                <w:bCs/>
                <w:color w:val="00B050"/>
                <w:sz w:val="16"/>
                <w:lang w:eastAsia="es-DO"/>
              </w:rPr>
              <w:t>Verificació</w:t>
            </w:r>
            <w:r w:rsidRPr="00E36023">
              <w:rPr>
                <w:rFonts w:eastAsia="Times New Roman" w:cs="Times New Roman"/>
                <w:b/>
                <w:bCs/>
                <w:color w:val="00B050"/>
                <w:sz w:val="16"/>
                <w:lang w:eastAsia="es-DO"/>
              </w:rPr>
              <w:t>n Salud</w:t>
            </w:r>
          </w:p>
        </w:tc>
        <w:tc>
          <w:tcPr>
            <w:tcW w:w="709"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Indice Calidad Verificacion Educacion</w:t>
            </w:r>
          </w:p>
        </w:tc>
        <w:tc>
          <w:tcPr>
            <w:tcW w:w="850"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Escuelas de Familia reportadas x familias</w:t>
            </w:r>
          </w:p>
        </w:tc>
        <w:tc>
          <w:tcPr>
            <w:tcW w:w="709"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 xml:space="preserve"> Visitas Domi</w:t>
            </w:r>
          </w:p>
        </w:tc>
        <w:tc>
          <w:tcPr>
            <w:tcW w:w="1134" w:type="dxa"/>
            <w:tcBorders>
              <w:top w:val="single" w:sz="4" w:space="0" w:color="BFBFBF"/>
              <w:left w:val="nil"/>
              <w:bottom w:val="single" w:sz="4" w:space="0" w:color="BFBFBF"/>
              <w:right w:val="single" w:sz="4" w:space="0" w:color="BFBFBF"/>
            </w:tcBorders>
            <w:shd w:val="clear" w:color="000000" w:fill="F2F2F2"/>
            <w:vAlign w:val="center"/>
            <w:hideMark/>
          </w:tcPr>
          <w:p w:rsidR="0083743B" w:rsidRPr="00E36023" w:rsidRDefault="0083743B" w:rsidP="0083743B">
            <w:pPr>
              <w:spacing w:after="0" w:line="240" w:lineRule="auto"/>
              <w:jc w:val="center"/>
              <w:rPr>
                <w:rFonts w:eastAsia="Times New Roman" w:cs="Times New Roman"/>
                <w:b/>
                <w:bCs/>
                <w:color w:val="00B050"/>
                <w:sz w:val="16"/>
                <w:lang w:eastAsia="es-DO"/>
              </w:rPr>
            </w:pPr>
            <w:r w:rsidRPr="00E36023">
              <w:rPr>
                <w:rFonts w:eastAsia="Times New Roman" w:cs="Times New Roman"/>
                <w:b/>
                <w:bCs/>
                <w:color w:val="00B050"/>
                <w:sz w:val="16"/>
                <w:lang w:eastAsia="es-DO"/>
              </w:rPr>
              <w:t>Indice de cumplimiento compuesto</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NOROESTE</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38</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2</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27</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71.1%</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78.8%</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96.2%</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98.0%</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1134" w:type="dxa"/>
            <w:tcBorders>
              <w:top w:val="single" w:sz="4" w:space="0" w:color="BFBFBF"/>
              <w:left w:val="single" w:sz="4" w:space="0" w:color="BFBFBF"/>
              <w:bottom w:val="single" w:sz="4" w:space="0" w:color="BFBFBF"/>
              <w:right w:val="single" w:sz="4" w:space="0" w:color="BFBFBF"/>
            </w:tcBorders>
            <w:shd w:val="clear" w:color="000000" w:fill="63BE7B"/>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89.90%</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NORDESTE</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8</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2</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26</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72.2%</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77.1%</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98.8%</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98.2%</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97.2%</w:t>
            </w:r>
          </w:p>
        </w:tc>
        <w:tc>
          <w:tcPr>
            <w:tcW w:w="1134" w:type="dxa"/>
            <w:tcBorders>
              <w:top w:val="single" w:sz="4" w:space="0" w:color="BFBFBF"/>
              <w:left w:val="single" w:sz="4" w:space="0" w:color="BFBFBF"/>
              <w:bottom w:val="single" w:sz="4" w:space="0" w:color="BFBFBF"/>
              <w:right w:val="single" w:sz="4" w:space="0" w:color="BFBFBF"/>
            </w:tcBorders>
            <w:shd w:val="clear" w:color="000000" w:fill="65BF7C"/>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89.82%</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DISTRITO NACIONAL</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12</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0</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24</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66.7%</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72.4%</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93.5%</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92.3%</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99.3%</w:t>
            </w:r>
          </w:p>
        </w:tc>
        <w:tc>
          <w:tcPr>
            <w:tcW w:w="1134" w:type="dxa"/>
            <w:tcBorders>
              <w:top w:val="single" w:sz="4" w:space="0" w:color="BFBFBF"/>
              <w:left w:val="single" w:sz="4" w:space="0" w:color="BFBFBF"/>
              <w:bottom w:val="single" w:sz="4" w:space="0" w:color="BFBFBF"/>
              <w:right w:val="single" w:sz="4" w:space="0" w:color="BFBFBF"/>
            </w:tcBorders>
            <w:shd w:val="clear" w:color="000000" w:fill="9CCF7F"/>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86.3%</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ENRIQUILLO</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12</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5</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19</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52.8%</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71.2%</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91.5%</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93.2%</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100.0%</w:t>
            </w:r>
          </w:p>
        </w:tc>
        <w:tc>
          <w:tcPr>
            <w:tcW w:w="1134" w:type="dxa"/>
            <w:tcBorders>
              <w:top w:val="single" w:sz="4" w:space="0" w:color="BFBFBF"/>
              <w:left w:val="single" w:sz="4" w:space="0" w:color="BFBFBF"/>
              <w:bottom w:val="single" w:sz="4" w:space="0" w:color="BFBFBF"/>
              <w:right w:val="single" w:sz="4" w:space="0" w:color="BFBFBF"/>
            </w:tcBorders>
            <w:shd w:val="clear" w:color="000000" w:fill="D5DF82"/>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82.7%</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VALDESIA</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38</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16</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3</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19</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50.0%</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65.3%</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97.3%</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97.5%</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88.6%</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99.3%</w:t>
            </w:r>
          </w:p>
        </w:tc>
        <w:tc>
          <w:tcPr>
            <w:tcW w:w="1134" w:type="dxa"/>
            <w:tcBorders>
              <w:top w:val="single" w:sz="4" w:space="0" w:color="BFBFBF"/>
              <w:left w:val="single" w:sz="4" w:space="0" w:color="BFBFBF"/>
              <w:bottom w:val="single" w:sz="4" w:space="0" w:color="BFBFBF"/>
              <w:right w:val="single" w:sz="4" w:space="0" w:color="BFBFBF"/>
            </w:tcBorders>
            <w:shd w:val="clear" w:color="000000" w:fill="F7E984"/>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80.5%</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NORCENTRAL</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16</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2</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18</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50.0%</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65.7%</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92.8%</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94.5%</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88.1%</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99.4%</w:t>
            </w:r>
          </w:p>
        </w:tc>
        <w:tc>
          <w:tcPr>
            <w:tcW w:w="1134" w:type="dxa"/>
            <w:tcBorders>
              <w:top w:val="single" w:sz="4" w:space="0" w:color="BFBFBF"/>
              <w:left w:val="single" w:sz="4" w:space="0" w:color="BFBFBF"/>
              <w:bottom w:val="single" w:sz="4" w:space="0" w:color="BFBFBF"/>
              <w:right w:val="single" w:sz="4" w:space="0" w:color="BFBFBF"/>
            </w:tcBorders>
            <w:shd w:val="clear" w:color="000000" w:fill="FEE182"/>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79.5%</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CIBAO CENTRAL</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20</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0</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16</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44.4%</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55.7%</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90.5%</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93.4%</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97.1%</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95.3%</w:t>
            </w:r>
          </w:p>
        </w:tc>
        <w:tc>
          <w:tcPr>
            <w:tcW w:w="1134" w:type="dxa"/>
            <w:tcBorders>
              <w:top w:val="single" w:sz="4" w:space="0" w:color="BFBFBF"/>
              <w:left w:val="single" w:sz="4" w:space="0" w:color="BFBFBF"/>
              <w:bottom w:val="single" w:sz="4" w:space="0" w:color="BFBFBF"/>
              <w:right w:val="single" w:sz="4" w:space="0" w:color="BFBFBF"/>
            </w:tcBorders>
            <w:shd w:val="clear" w:color="000000" w:fill="FBA576"/>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76.1%</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EL VALLE</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18</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2</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16</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44.4%</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55.2%</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92.9%</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95.0%</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88.1%</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90.4%</w:t>
            </w:r>
          </w:p>
        </w:tc>
        <w:tc>
          <w:tcPr>
            <w:tcW w:w="1134" w:type="dxa"/>
            <w:tcBorders>
              <w:top w:val="single" w:sz="4" w:space="0" w:color="BFBFBF"/>
              <w:left w:val="single" w:sz="4" w:space="0" w:color="BFBFBF"/>
              <w:bottom w:val="single" w:sz="4" w:space="0" w:color="BFBFBF"/>
              <w:right w:val="single" w:sz="4" w:space="0" w:color="BFBFBF"/>
            </w:tcBorders>
            <w:shd w:val="clear" w:color="000000" w:fill="F98B71"/>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74.6%</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ESTE</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19</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4</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13</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36.1%</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56.8%</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93.1%</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94.6%</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95.3%</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90.4%</w:t>
            </w:r>
          </w:p>
        </w:tc>
        <w:tc>
          <w:tcPr>
            <w:tcW w:w="1134" w:type="dxa"/>
            <w:tcBorders>
              <w:top w:val="single" w:sz="4" w:space="0" w:color="BFBFBF"/>
              <w:left w:val="single" w:sz="4" w:space="0" w:color="BFBFBF"/>
              <w:bottom w:val="single" w:sz="4" w:space="0" w:color="BFBFBF"/>
              <w:right w:val="single" w:sz="4" w:space="0" w:color="BFBFBF"/>
            </w:tcBorders>
            <w:shd w:val="clear" w:color="000000" w:fill="F8756D"/>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73.4%</w:t>
            </w:r>
          </w:p>
        </w:tc>
      </w:tr>
      <w:tr w:rsidR="0083743B" w:rsidRPr="00E36023" w:rsidTr="006B3706">
        <w:trPr>
          <w:trHeight w:val="300"/>
        </w:trPr>
        <w:tc>
          <w:tcPr>
            <w:tcW w:w="1418" w:type="dxa"/>
            <w:tcBorders>
              <w:top w:val="nil"/>
              <w:left w:val="nil"/>
              <w:bottom w:val="nil"/>
              <w:right w:val="nil"/>
            </w:tcBorders>
            <w:shd w:val="clear" w:color="auto" w:fill="auto"/>
            <w:noWrap/>
            <w:vAlign w:val="bottom"/>
            <w:hideMark/>
          </w:tcPr>
          <w:p w:rsidR="0083743B" w:rsidRPr="00E36023" w:rsidRDefault="0083743B" w:rsidP="0083743B">
            <w:pPr>
              <w:spacing w:after="0" w:line="240" w:lineRule="auto"/>
              <w:rPr>
                <w:rFonts w:eastAsia="Times New Roman" w:cs="Times New Roman"/>
                <w:color w:val="000000"/>
                <w:sz w:val="16"/>
                <w:lang w:eastAsia="es-DO"/>
              </w:rPr>
            </w:pPr>
            <w:r w:rsidRPr="00E36023">
              <w:rPr>
                <w:rFonts w:eastAsia="Times New Roman" w:cs="Times New Roman"/>
                <w:color w:val="000000"/>
                <w:sz w:val="16"/>
                <w:lang w:eastAsia="es-DO"/>
              </w:rPr>
              <w:t>SANTO DOMINGO</w:t>
            </w:r>
          </w:p>
        </w:tc>
        <w:tc>
          <w:tcPr>
            <w:tcW w:w="993" w:type="dxa"/>
            <w:tcBorders>
              <w:top w:val="nil"/>
              <w:left w:val="single" w:sz="4" w:space="0" w:color="BFBFBF"/>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38</w:t>
            </w:r>
          </w:p>
        </w:tc>
        <w:tc>
          <w:tcPr>
            <w:tcW w:w="992"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20</w:t>
            </w:r>
          </w:p>
        </w:tc>
        <w:tc>
          <w:tcPr>
            <w:tcW w:w="767"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5</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13</w:t>
            </w:r>
          </w:p>
        </w:tc>
        <w:tc>
          <w:tcPr>
            <w:tcW w:w="74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34.2%</w:t>
            </w:r>
          </w:p>
        </w:tc>
        <w:tc>
          <w:tcPr>
            <w:tcW w:w="87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53.2%</w:t>
            </w:r>
          </w:p>
        </w:tc>
        <w:tc>
          <w:tcPr>
            <w:tcW w:w="851"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91.5%</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95.8%</w:t>
            </w:r>
          </w:p>
        </w:tc>
        <w:tc>
          <w:tcPr>
            <w:tcW w:w="850"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95.2%</w:t>
            </w:r>
          </w:p>
        </w:tc>
        <w:tc>
          <w:tcPr>
            <w:tcW w:w="709" w:type="dxa"/>
            <w:tcBorders>
              <w:top w:val="nil"/>
              <w:left w:val="nil"/>
              <w:bottom w:val="single" w:sz="4" w:space="0" w:color="BFBFBF"/>
              <w:right w:val="single" w:sz="4" w:space="0" w:color="BFBFBF"/>
            </w:tcBorders>
            <w:shd w:val="clear" w:color="auto" w:fill="auto"/>
            <w:noWrap/>
            <w:vAlign w:val="center"/>
            <w:hideMark/>
          </w:tcPr>
          <w:p w:rsidR="0083743B" w:rsidRPr="00E36023" w:rsidRDefault="0083743B" w:rsidP="0083743B">
            <w:pPr>
              <w:spacing w:after="0" w:line="240" w:lineRule="auto"/>
              <w:jc w:val="center"/>
              <w:rPr>
                <w:rFonts w:eastAsia="Times New Roman" w:cs="Times New Roman"/>
                <w:color w:val="000000"/>
                <w:sz w:val="16"/>
                <w:lang w:eastAsia="es-DO"/>
              </w:rPr>
            </w:pPr>
            <w:r w:rsidRPr="00E36023">
              <w:rPr>
                <w:rFonts w:eastAsia="Times New Roman" w:cs="Times New Roman"/>
                <w:color w:val="000000"/>
                <w:sz w:val="16"/>
                <w:lang w:eastAsia="es-DO"/>
              </w:rPr>
              <w:t>96.8%</w:t>
            </w:r>
          </w:p>
        </w:tc>
        <w:tc>
          <w:tcPr>
            <w:tcW w:w="1134" w:type="dxa"/>
            <w:tcBorders>
              <w:top w:val="single" w:sz="4" w:space="0" w:color="BFBFBF"/>
              <w:left w:val="single" w:sz="4" w:space="0" w:color="BFBFBF"/>
              <w:bottom w:val="single" w:sz="4" w:space="0" w:color="BFBFBF"/>
              <w:right w:val="single" w:sz="4" w:space="0" w:color="BFBFBF"/>
            </w:tcBorders>
            <w:shd w:val="clear" w:color="000000" w:fill="F8696B"/>
            <w:noWrap/>
            <w:vAlign w:val="center"/>
            <w:hideMark/>
          </w:tcPr>
          <w:p w:rsidR="0083743B" w:rsidRPr="00E36023" w:rsidRDefault="0083743B" w:rsidP="0083743B">
            <w:pPr>
              <w:spacing w:after="0" w:line="240" w:lineRule="auto"/>
              <w:jc w:val="center"/>
              <w:rPr>
                <w:rFonts w:eastAsia="Times New Roman" w:cs="Times New Roman"/>
                <w:sz w:val="16"/>
                <w:lang w:eastAsia="es-DO"/>
              </w:rPr>
            </w:pPr>
            <w:r w:rsidRPr="00E36023">
              <w:rPr>
                <w:rFonts w:eastAsia="Times New Roman" w:cs="Times New Roman"/>
                <w:sz w:val="16"/>
                <w:lang w:eastAsia="es-DO"/>
              </w:rPr>
              <w:t>72.7%</w:t>
            </w:r>
          </w:p>
        </w:tc>
      </w:tr>
      <w:tr w:rsidR="0083743B" w:rsidRPr="00E36023" w:rsidTr="006B3706">
        <w:trPr>
          <w:trHeight w:val="600"/>
        </w:trPr>
        <w:tc>
          <w:tcPr>
            <w:tcW w:w="1418" w:type="dxa"/>
            <w:tcBorders>
              <w:top w:val="single" w:sz="4" w:space="0" w:color="BFBFBF"/>
              <w:left w:val="single" w:sz="4" w:space="0" w:color="BFBFBF"/>
              <w:bottom w:val="single" w:sz="4" w:space="0" w:color="BFBFBF"/>
              <w:right w:val="single" w:sz="4" w:space="0" w:color="BFBFBF"/>
            </w:tcBorders>
            <w:shd w:val="clear" w:color="000000" w:fill="8DB4E2"/>
            <w:vAlign w:val="bottom"/>
            <w:hideMark/>
          </w:tcPr>
          <w:p w:rsidR="0083743B" w:rsidRPr="00E36023" w:rsidRDefault="006368D4" w:rsidP="0083743B">
            <w:pPr>
              <w:spacing w:after="0" w:line="240" w:lineRule="auto"/>
              <w:rPr>
                <w:rFonts w:eastAsia="Times New Roman" w:cs="Times New Roman"/>
                <w:b/>
                <w:bCs/>
                <w:color w:val="000000"/>
                <w:sz w:val="16"/>
                <w:lang w:eastAsia="es-DO"/>
              </w:rPr>
            </w:pPr>
            <w:r w:rsidRPr="00E36023">
              <w:rPr>
                <w:rFonts w:eastAsia="Times New Roman" w:cs="Times New Roman"/>
                <w:b/>
                <w:bCs/>
                <w:color w:val="000000"/>
                <w:sz w:val="16"/>
                <w:lang w:eastAsia="es-DO"/>
              </w:rPr>
              <w:t>Índice</w:t>
            </w:r>
            <w:r w:rsidR="0083743B" w:rsidRPr="00E36023">
              <w:rPr>
                <w:rFonts w:eastAsia="Times New Roman" w:cs="Times New Roman"/>
                <w:b/>
                <w:bCs/>
                <w:color w:val="000000"/>
                <w:sz w:val="16"/>
                <w:lang w:eastAsia="es-DO"/>
              </w:rPr>
              <w:t xml:space="preserve"> Cumplimiento Promedio</w:t>
            </w:r>
          </w:p>
        </w:tc>
        <w:tc>
          <w:tcPr>
            <w:tcW w:w="993"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38</w:t>
            </w:r>
          </w:p>
        </w:tc>
        <w:tc>
          <w:tcPr>
            <w:tcW w:w="992"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15</w:t>
            </w:r>
          </w:p>
        </w:tc>
        <w:tc>
          <w:tcPr>
            <w:tcW w:w="767"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3</w:t>
            </w:r>
          </w:p>
        </w:tc>
        <w:tc>
          <w:tcPr>
            <w:tcW w:w="740"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19</w:t>
            </w:r>
          </w:p>
        </w:tc>
        <w:tc>
          <w:tcPr>
            <w:tcW w:w="740"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50.3%</w:t>
            </w:r>
          </w:p>
        </w:tc>
        <w:tc>
          <w:tcPr>
            <w:tcW w:w="871"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65.1%</w:t>
            </w:r>
          </w:p>
        </w:tc>
        <w:tc>
          <w:tcPr>
            <w:tcW w:w="851"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 </w:t>
            </w:r>
          </w:p>
        </w:tc>
        <w:tc>
          <w:tcPr>
            <w:tcW w:w="709"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 </w:t>
            </w:r>
          </w:p>
        </w:tc>
        <w:tc>
          <w:tcPr>
            <w:tcW w:w="850"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 </w:t>
            </w:r>
          </w:p>
        </w:tc>
        <w:tc>
          <w:tcPr>
            <w:tcW w:w="709"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 </w:t>
            </w:r>
          </w:p>
        </w:tc>
        <w:tc>
          <w:tcPr>
            <w:tcW w:w="1134" w:type="dxa"/>
            <w:tcBorders>
              <w:top w:val="nil"/>
              <w:left w:val="nil"/>
              <w:bottom w:val="single" w:sz="4" w:space="0" w:color="BFBFBF"/>
              <w:right w:val="single" w:sz="4" w:space="0" w:color="BFBFBF"/>
            </w:tcBorders>
            <w:shd w:val="clear" w:color="000000" w:fill="8DB4E2"/>
            <w:noWrap/>
            <w:vAlign w:val="center"/>
            <w:hideMark/>
          </w:tcPr>
          <w:p w:rsidR="0083743B" w:rsidRPr="00E36023" w:rsidRDefault="0083743B" w:rsidP="0083743B">
            <w:pPr>
              <w:spacing w:after="0" w:line="240" w:lineRule="auto"/>
              <w:jc w:val="center"/>
              <w:rPr>
                <w:rFonts w:eastAsia="Times New Roman" w:cs="Times New Roman"/>
                <w:b/>
                <w:bCs/>
                <w:color w:val="000000"/>
                <w:sz w:val="16"/>
                <w:lang w:eastAsia="es-DO"/>
              </w:rPr>
            </w:pPr>
            <w:r w:rsidRPr="00E36023">
              <w:rPr>
                <w:rFonts w:eastAsia="Times New Roman" w:cs="Times New Roman"/>
                <w:b/>
                <w:bCs/>
                <w:color w:val="000000"/>
                <w:sz w:val="16"/>
                <w:lang w:eastAsia="es-DO"/>
              </w:rPr>
              <w:t> </w:t>
            </w:r>
          </w:p>
        </w:tc>
      </w:tr>
    </w:tbl>
    <w:p w:rsidR="00A82D31" w:rsidRPr="00A82D31" w:rsidRDefault="00A82D31" w:rsidP="006368D4">
      <w:pPr>
        <w:spacing w:after="0"/>
        <w:jc w:val="both"/>
      </w:pPr>
    </w:p>
    <w:sectPr w:rsidR="00A82D31" w:rsidRPr="00A82D31" w:rsidSect="00336F5C">
      <w:headerReference w:type="default" r:id="rId11"/>
      <w:footerReference w:type="default" r:id="rId12"/>
      <w:pgSz w:w="12240" w:h="15840"/>
      <w:pgMar w:top="1189"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8E" w:rsidRDefault="00DD068E" w:rsidP="00DA016E">
      <w:pPr>
        <w:spacing w:after="0" w:line="240" w:lineRule="auto"/>
      </w:pPr>
      <w:r>
        <w:separator/>
      </w:r>
    </w:p>
  </w:endnote>
  <w:endnote w:type="continuationSeparator" w:id="0">
    <w:p w:rsidR="00DD068E" w:rsidRDefault="00DD068E" w:rsidP="00DA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82433604"/>
      <w:docPartObj>
        <w:docPartGallery w:val="Page Numbers (Bottom of Page)"/>
        <w:docPartUnique/>
      </w:docPartObj>
    </w:sdtPr>
    <w:sdtEndPr/>
    <w:sdtContent>
      <w:sdt>
        <w:sdtPr>
          <w:rPr>
            <w:sz w:val="16"/>
            <w:szCs w:val="16"/>
          </w:rPr>
          <w:id w:val="-1415231485"/>
          <w:docPartObj>
            <w:docPartGallery w:val="Page Numbers (Top of Page)"/>
            <w:docPartUnique/>
          </w:docPartObj>
        </w:sdtPr>
        <w:sdtEndPr/>
        <w:sdtContent>
          <w:p w:rsidR="00D659B9" w:rsidRPr="00FB5127" w:rsidRDefault="00D659B9">
            <w:pPr>
              <w:pStyle w:val="Piedepgina"/>
              <w:jc w:val="right"/>
              <w:rPr>
                <w:sz w:val="16"/>
                <w:szCs w:val="16"/>
              </w:rPr>
            </w:pPr>
            <w:r w:rsidRPr="00FB5127">
              <w:rPr>
                <w:sz w:val="16"/>
                <w:szCs w:val="16"/>
                <w:lang w:val="es-ES"/>
              </w:rPr>
              <w:t xml:space="preserve">Página </w:t>
            </w:r>
            <w:r w:rsidRPr="00FB5127">
              <w:rPr>
                <w:b/>
                <w:bCs/>
                <w:sz w:val="16"/>
                <w:szCs w:val="16"/>
              </w:rPr>
              <w:fldChar w:fldCharType="begin"/>
            </w:r>
            <w:r w:rsidRPr="00FB5127">
              <w:rPr>
                <w:b/>
                <w:bCs/>
                <w:sz w:val="16"/>
                <w:szCs w:val="16"/>
              </w:rPr>
              <w:instrText>PAGE</w:instrText>
            </w:r>
            <w:r w:rsidRPr="00FB5127">
              <w:rPr>
                <w:b/>
                <w:bCs/>
                <w:sz w:val="16"/>
                <w:szCs w:val="16"/>
              </w:rPr>
              <w:fldChar w:fldCharType="separate"/>
            </w:r>
            <w:r w:rsidR="00CE1610">
              <w:rPr>
                <w:b/>
                <w:bCs/>
                <w:noProof/>
                <w:sz w:val="16"/>
                <w:szCs w:val="16"/>
              </w:rPr>
              <w:t>10</w:t>
            </w:r>
            <w:r w:rsidRPr="00FB5127">
              <w:rPr>
                <w:b/>
                <w:bCs/>
                <w:sz w:val="16"/>
                <w:szCs w:val="16"/>
              </w:rPr>
              <w:fldChar w:fldCharType="end"/>
            </w:r>
            <w:r w:rsidRPr="00FB5127">
              <w:rPr>
                <w:sz w:val="16"/>
                <w:szCs w:val="16"/>
                <w:lang w:val="es-ES"/>
              </w:rPr>
              <w:t xml:space="preserve"> de </w:t>
            </w:r>
            <w:r w:rsidRPr="00FB5127">
              <w:rPr>
                <w:b/>
                <w:bCs/>
                <w:sz w:val="16"/>
                <w:szCs w:val="16"/>
              </w:rPr>
              <w:fldChar w:fldCharType="begin"/>
            </w:r>
            <w:r w:rsidRPr="00FB5127">
              <w:rPr>
                <w:b/>
                <w:bCs/>
                <w:sz w:val="16"/>
                <w:szCs w:val="16"/>
              </w:rPr>
              <w:instrText>NUMPAGES</w:instrText>
            </w:r>
            <w:r w:rsidRPr="00FB5127">
              <w:rPr>
                <w:b/>
                <w:bCs/>
                <w:sz w:val="16"/>
                <w:szCs w:val="16"/>
              </w:rPr>
              <w:fldChar w:fldCharType="separate"/>
            </w:r>
            <w:r w:rsidR="00CE1610">
              <w:rPr>
                <w:b/>
                <w:bCs/>
                <w:noProof/>
                <w:sz w:val="16"/>
                <w:szCs w:val="16"/>
              </w:rPr>
              <w:t>10</w:t>
            </w:r>
            <w:r w:rsidRPr="00FB5127">
              <w:rPr>
                <w:b/>
                <w:bCs/>
                <w:sz w:val="16"/>
                <w:szCs w:val="16"/>
              </w:rPr>
              <w:fldChar w:fldCharType="end"/>
            </w:r>
          </w:p>
        </w:sdtContent>
      </w:sdt>
    </w:sdtContent>
  </w:sdt>
  <w:p w:rsidR="00D659B9" w:rsidRDefault="00D65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8E" w:rsidRDefault="00DD068E" w:rsidP="00DA016E">
      <w:pPr>
        <w:spacing w:after="0" w:line="240" w:lineRule="auto"/>
      </w:pPr>
      <w:r>
        <w:separator/>
      </w:r>
    </w:p>
  </w:footnote>
  <w:footnote w:type="continuationSeparator" w:id="0">
    <w:p w:rsidR="00DD068E" w:rsidRDefault="00DD068E" w:rsidP="00DA0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horzAnchor="margin" w:tblpXSpec="center" w:tblpY="-1017"/>
      <w:tblW w:w="9230" w:type="dxa"/>
      <w:tblLook w:val="04A0" w:firstRow="1" w:lastRow="0" w:firstColumn="1" w:lastColumn="0" w:noHBand="0" w:noVBand="1"/>
    </w:tblPr>
    <w:tblGrid>
      <w:gridCol w:w="1592"/>
      <w:gridCol w:w="5200"/>
      <w:gridCol w:w="2438"/>
    </w:tblGrid>
    <w:tr w:rsidR="00D659B9" w:rsidRPr="00EF1717" w:rsidTr="00B4506B">
      <w:trPr>
        <w:trHeight w:val="447"/>
      </w:trPr>
      <w:tc>
        <w:tcPr>
          <w:tcW w:w="1592" w:type="dxa"/>
        </w:tcPr>
        <w:p w:rsidR="00D659B9" w:rsidRPr="00EF1717" w:rsidRDefault="00D659B9" w:rsidP="00B4506B">
          <w:pPr>
            <w:pStyle w:val="Encabezado"/>
            <w:jc w:val="center"/>
            <w:rPr>
              <w:rFonts w:ascii="Arial" w:hAnsi="Arial" w:cs="Arial"/>
              <w:sz w:val="24"/>
            </w:rPr>
          </w:pPr>
          <w:r>
            <w:rPr>
              <w:rFonts w:ascii="Arial" w:hAnsi="Arial" w:cs="Arial"/>
              <w:noProof/>
              <w:sz w:val="24"/>
              <w:lang w:eastAsia="es-DO"/>
            </w:rPr>
            <w:drawing>
              <wp:inline distT="0" distB="0" distL="0" distR="0">
                <wp:extent cx="760135" cy="60007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4647" cy="603637"/>
                        </a:xfrm>
                        <a:prstGeom prst="rect">
                          <a:avLst/>
                        </a:prstGeom>
                        <a:noFill/>
                      </pic:spPr>
                    </pic:pic>
                  </a:graphicData>
                </a:graphic>
              </wp:inline>
            </w:drawing>
          </w:r>
        </w:p>
      </w:tc>
      <w:tc>
        <w:tcPr>
          <w:tcW w:w="0" w:type="auto"/>
          <w:vAlign w:val="center"/>
        </w:tcPr>
        <w:p w:rsidR="00D659B9" w:rsidRDefault="00D659B9" w:rsidP="008F7689">
          <w:pPr>
            <w:pStyle w:val="Encabezado"/>
            <w:jc w:val="center"/>
            <w:rPr>
              <w:rFonts w:ascii="Arial" w:hAnsi="Arial" w:cs="Arial"/>
              <w:b/>
              <w:sz w:val="20"/>
            </w:rPr>
          </w:pPr>
          <w:r w:rsidRPr="009453B1">
            <w:rPr>
              <w:rFonts w:ascii="Arial" w:hAnsi="Arial" w:cs="Arial"/>
              <w:b/>
              <w:sz w:val="20"/>
            </w:rPr>
            <w:t xml:space="preserve">Informe </w:t>
          </w:r>
          <w:r>
            <w:rPr>
              <w:rFonts w:ascii="Arial" w:hAnsi="Arial" w:cs="Arial"/>
              <w:b/>
              <w:sz w:val="20"/>
            </w:rPr>
            <w:t xml:space="preserve">de Resultados Trimestre </w:t>
          </w:r>
        </w:p>
        <w:p w:rsidR="00D659B9" w:rsidRPr="00EF1717" w:rsidRDefault="00D659B9" w:rsidP="00D83123">
          <w:pPr>
            <w:pStyle w:val="Encabezado"/>
            <w:jc w:val="center"/>
            <w:rPr>
              <w:rFonts w:ascii="Arial" w:hAnsi="Arial" w:cs="Arial"/>
              <w:b/>
              <w:sz w:val="24"/>
            </w:rPr>
          </w:pPr>
          <w:r>
            <w:rPr>
              <w:rFonts w:ascii="Arial" w:hAnsi="Arial" w:cs="Arial"/>
              <w:b/>
              <w:sz w:val="20"/>
            </w:rPr>
            <w:t>Julio – Septiembre 2014</w:t>
          </w:r>
        </w:p>
      </w:tc>
      <w:tc>
        <w:tcPr>
          <w:tcW w:w="0" w:type="auto"/>
        </w:tcPr>
        <w:p w:rsidR="00D659B9" w:rsidRPr="0028070B" w:rsidRDefault="00D659B9" w:rsidP="00B4506B">
          <w:pPr>
            <w:pStyle w:val="Encabezado"/>
            <w:jc w:val="center"/>
            <w:rPr>
              <w:rFonts w:ascii="Arial" w:hAnsi="Arial" w:cs="Arial"/>
              <w:b/>
              <w:sz w:val="24"/>
            </w:rPr>
          </w:pPr>
          <w:r>
            <w:rPr>
              <w:noProof/>
              <w:lang w:eastAsia="es-DO"/>
            </w:rPr>
            <w:drawing>
              <wp:inline distT="0" distB="0" distL="0" distR="0">
                <wp:extent cx="856343" cy="663457"/>
                <wp:effectExtent l="0" t="0" r="1270" b="0"/>
                <wp:docPr id="8" name="Picture 3" descr="LogoViceNue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ViceNuevo2"/>
                        <pic:cNvPicPr>
                          <a:picLocks noChangeAspect="1" noChangeArrowheads="1"/>
                        </pic:cNvPicPr>
                      </pic:nvPicPr>
                      <pic:blipFill rotWithShape="1">
                        <a:blip r:embed="rId2" cstate="print"/>
                        <a:srcRect l="6376" t="10845" r="66769" b="14441"/>
                        <a:stretch/>
                      </pic:blipFill>
                      <pic:spPr bwMode="auto">
                        <a:xfrm>
                          <a:off x="0" y="0"/>
                          <a:ext cx="855849" cy="6630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659B9" w:rsidRDefault="00D659B9">
    <w:pPr>
      <w:pStyle w:val="Encabezado"/>
    </w:pPr>
  </w:p>
  <w:p w:rsidR="00D659B9" w:rsidRDefault="00D659B9">
    <w:pPr>
      <w:pStyle w:val="Encabezado"/>
    </w:pPr>
  </w:p>
  <w:p w:rsidR="00D659B9" w:rsidRDefault="00D659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D51"/>
    <w:multiLevelType w:val="hybridMultilevel"/>
    <w:tmpl w:val="260031D2"/>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
    <w:nsid w:val="07E3304B"/>
    <w:multiLevelType w:val="hybridMultilevel"/>
    <w:tmpl w:val="CF0ED578"/>
    <w:lvl w:ilvl="0" w:tplc="A94090CA">
      <w:start w:val="2"/>
      <w:numFmt w:val="bullet"/>
      <w:lvlText w:val="•"/>
      <w:lvlJc w:val="left"/>
      <w:pPr>
        <w:ind w:left="1069" w:hanging="360"/>
      </w:pPr>
      <w:rPr>
        <w:rFonts w:ascii="Calibri" w:eastAsia="MS Mincho"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4890BAA"/>
    <w:multiLevelType w:val="hybridMultilevel"/>
    <w:tmpl w:val="58DC89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178D228C"/>
    <w:multiLevelType w:val="hybridMultilevel"/>
    <w:tmpl w:val="FFC4AEF4"/>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4">
    <w:nsid w:val="1BDF6ED0"/>
    <w:multiLevelType w:val="hybridMultilevel"/>
    <w:tmpl w:val="F2A4432A"/>
    <w:lvl w:ilvl="0" w:tplc="A94090CA">
      <w:start w:val="2"/>
      <w:numFmt w:val="bullet"/>
      <w:lvlText w:val="•"/>
      <w:lvlJc w:val="left"/>
      <w:pPr>
        <w:ind w:left="720" w:hanging="360"/>
      </w:pPr>
      <w:rPr>
        <w:rFonts w:ascii="Calibri" w:eastAsia="MS Mincho" w:hAnsi="Calibri" w:cs="Calibri"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FE1415E"/>
    <w:multiLevelType w:val="hybridMultilevel"/>
    <w:tmpl w:val="CD3648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4021C7E"/>
    <w:multiLevelType w:val="hybridMultilevel"/>
    <w:tmpl w:val="7D56CE78"/>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7">
    <w:nsid w:val="27A35E7D"/>
    <w:multiLevelType w:val="hybridMultilevel"/>
    <w:tmpl w:val="523EA7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86E3CE3"/>
    <w:multiLevelType w:val="hybridMultilevel"/>
    <w:tmpl w:val="389049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C520B74"/>
    <w:multiLevelType w:val="hybridMultilevel"/>
    <w:tmpl w:val="27E0150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2D4E549B"/>
    <w:multiLevelType w:val="hybridMultilevel"/>
    <w:tmpl w:val="0B3E8DD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3CE154AE"/>
    <w:multiLevelType w:val="hybridMultilevel"/>
    <w:tmpl w:val="BF84BF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43055BB3"/>
    <w:multiLevelType w:val="hybridMultilevel"/>
    <w:tmpl w:val="7A6AA7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4AD5138C"/>
    <w:multiLevelType w:val="hybridMultilevel"/>
    <w:tmpl w:val="3FCAAB64"/>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4B4720F7"/>
    <w:multiLevelType w:val="hybridMultilevel"/>
    <w:tmpl w:val="CE4CC690"/>
    <w:lvl w:ilvl="0" w:tplc="74066D12">
      <w:start w:val="1"/>
      <w:numFmt w:val="decimal"/>
      <w:lvlText w:val="%1."/>
      <w:lvlJc w:val="left"/>
      <w:pPr>
        <w:ind w:left="731" w:hanging="360"/>
      </w:pPr>
      <w:rPr>
        <w:rFonts w:hint="default"/>
      </w:rPr>
    </w:lvl>
    <w:lvl w:ilvl="1" w:tplc="1C0A0019" w:tentative="1">
      <w:start w:val="1"/>
      <w:numFmt w:val="lowerLetter"/>
      <w:lvlText w:val="%2."/>
      <w:lvlJc w:val="left"/>
      <w:pPr>
        <w:ind w:left="1451" w:hanging="360"/>
      </w:pPr>
    </w:lvl>
    <w:lvl w:ilvl="2" w:tplc="1C0A001B" w:tentative="1">
      <w:start w:val="1"/>
      <w:numFmt w:val="lowerRoman"/>
      <w:lvlText w:val="%3."/>
      <w:lvlJc w:val="right"/>
      <w:pPr>
        <w:ind w:left="2171" w:hanging="180"/>
      </w:pPr>
    </w:lvl>
    <w:lvl w:ilvl="3" w:tplc="1C0A000F" w:tentative="1">
      <w:start w:val="1"/>
      <w:numFmt w:val="decimal"/>
      <w:lvlText w:val="%4."/>
      <w:lvlJc w:val="left"/>
      <w:pPr>
        <w:ind w:left="2891" w:hanging="360"/>
      </w:pPr>
    </w:lvl>
    <w:lvl w:ilvl="4" w:tplc="1C0A0019" w:tentative="1">
      <w:start w:val="1"/>
      <w:numFmt w:val="lowerLetter"/>
      <w:lvlText w:val="%5."/>
      <w:lvlJc w:val="left"/>
      <w:pPr>
        <w:ind w:left="3611" w:hanging="360"/>
      </w:pPr>
    </w:lvl>
    <w:lvl w:ilvl="5" w:tplc="1C0A001B" w:tentative="1">
      <w:start w:val="1"/>
      <w:numFmt w:val="lowerRoman"/>
      <w:lvlText w:val="%6."/>
      <w:lvlJc w:val="right"/>
      <w:pPr>
        <w:ind w:left="4331" w:hanging="180"/>
      </w:pPr>
    </w:lvl>
    <w:lvl w:ilvl="6" w:tplc="1C0A000F" w:tentative="1">
      <w:start w:val="1"/>
      <w:numFmt w:val="decimal"/>
      <w:lvlText w:val="%7."/>
      <w:lvlJc w:val="left"/>
      <w:pPr>
        <w:ind w:left="5051" w:hanging="360"/>
      </w:pPr>
    </w:lvl>
    <w:lvl w:ilvl="7" w:tplc="1C0A0019" w:tentative="1">
      <w:start w:val="1"/>
      <w:numFmt w:val="lowerLetter"/>
      <w:lvlText w:val="%8."/>
      <w:lvlJc w:val="left"/>
      <w:pPr>
        <w:ind w:left="5771" w:hanging="360"/>
      </w:pPr>
    </w:lvl>
    <w:lvl w:ilvl="8" w:tplc="1C0A001B" w:tentative="1">
      <w:start w:val="1"/>
      <w:numFmt w:val="lowerRoman"/>
      <w:lvlText w:val="%9."/>
      <w:lvlJc w:val="right"/>
      <w:pPr>
        <w:ind w:left="6491" w:hanging="180"/>
      </w:pPr>
    </w:lvl>
  </w:abstractNum>
  <w:abstractNum w:abstractNumId="15">
    <w:nsid w:val="4E4A37D5"/>
    <w:multiLevelType w:val="hybridMultilevel"/>
    <w:tmpl w:val="4662AE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5213649A"/>
    <w:multiLevelType w:val="hybridMultilevel"/>
    <w:tmpl w:val="5D227278"/>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5BF9287E"/>
    <w:multiLevelType w:val="hybridMultilevel"/>
    <w:tmpl w:val="5B3C9818"/>
    <w:lvl w:ilvl="0" w:tplc="82AC98EC">
      <w:start w:val="1"/>
      <w:numFmt w:val="bullet"/>
      <w:lvlText w:val="•"/>
      <w:lvlJc w:val="left"/>
      <w:pPr>
        <w:ind w:left="1425" w:hanging="705"/>
      </w:pPr>
      <w:rPr>
        <w:rFonts w:ascii="Calibri" w:eastAsiaTheme="minorHAnsi" w:hAnsi="Calibri" w:cs="Calibri"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nsid w:val="5EC85693"/>
    <w:multiLevelType w:val="hybridMultilevel"/>
    <w:tmpl w:val="126C2304"/>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5F950F8E"/>
    <w:multiLevelType w:val="hybridMultilevel"/>
    <w:tmpl w:val="D2AED5CA"/>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619C6748"/>
    <w:multiLevelType w:val="hybridMultilevel"/>
    <w:tmpl w:val="29669F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64BA0E75"/>
    <w:multiLevelType w:val="hybridMultilevel"/>
    <w:tmpl w:val="B3A2060E"/>
    <w:lvl w:ilvl="0" w:tplc="A94090CA">
      <w:start w:val="2"/>
      <w:numFmt w:val="bullet"/>
      <w:lvlText w:val="•"/>
      <w:lvlJc w:val="left"/>
      <w:pPr>
        <w:ind w:left="1091" w:hanging="360"/>
      </w:pPr>
      <w:rPr>
        <w:rFonts w:ascii="Calibri" w:eastAsia="MS Mincho" w:hAnsi="Calibri" w:cs="Calibri" w:hint="default"/>
      </w:rPr>
    </w:lvl>
    <w:lvl w:ilvl="1" w:tplc="1C0A0003" w:tentative="1">
      <w:start w:val="1"/>
      <w:numFmt w:val="bullet"/>
      <w:lvlText w:val="o"/>
      <w:lvlJc w:val="left"/>
      <w:pPr>
        <w:ind w:left="1811" w:hanging="360"/>
      </w:pPr>
      <w:rPr>
        <w:rFonts w:ascii="Courier New" w:hAnsi="Courier New" w:cs="Courier New" w:hint="default"/>
      </w:rPr>
    </w:lvl>
    <w:lvl w:ilvl="2" w:tplc="1C0A0005" w:tentative="1">
      <w:start w:val="1"/>
      <w:numFmt w:val="bullet"/>
      <w:lvlText w:val=""/>
      <w:lvlJc w:val="left"/>
      <w:pPr>
        <w:ind w:left="2531" w:hanging="360"/>
      </w:pPr>
      <w:rPr>
        <w:rFonts w:ascii="Wingdings" w:hAnsi="Wingdings" w:hint="default"/>
      </w:rPr>
    </w:lvl>
    <w:lvl w:ilvl="3" w:tplc="1C0A0001" w:tentative="1">
      <w:start w:val="1"/>
      <w:numFmt w:val="bullet"/>
      <w:lvlText w:val=""/>
      <w:lvlJc w:val="left"/>
      <w:pPr>
        <w:ind w:left="3251" w:hanging="360"/>
      </w:pPr>
      <w:rPr>
        <w:rFonts w:ascii="Symbol" w:hAnsi="Symbol" w:hint="default"/>
      </w:rPr>
    </w:lvl>
    <w:lvl w:ilvl="4" w:tplc="1C0A0003" w:tentative="1">
      <w:start w:val="1"/>
      <w:numFmt w:val="bullet"/>
      <w:lvlText w:val="o"/>
      <w:lvlJc w:val="left"/>
      <w:pPr>
        <w:ind w:left="3971" w:hanging="360"/>
      </w:pPr>
      <w:rPr>
        <w:rFonts w:ascii="Courier New" w:hAnsi="Courier New" w:cs="Courier New" w:hint="default"/>
      </w:rPr>
    </w:lvl>
    <w:lvl w:ilvl="5" w:tplc="1C0A0005" w:tentative="1">
      <w:start w:val="1"/>
      <w:numFmt w:val="bullet"/>
      <w:lvlText w:val=""/>
      <w:lvlJc w:val="left"/>
      <w:pPr>
        <w:ind w:left="4691" w:hanging="360"/>
      </w:pPr>
      <w:rPr>
        <w:rFonts w:ascii="Wingdings" w:hAnsi="Wingdings" w:hint="default"/>
      </w:rPr>
    </w:lvl>
    <w:lvl w:ilvl="6" w:tplc="1C0A0001" w:tentative="1">
      <w:start w:val="1"/>
      <w:numFmt w:val="bullet"/>
      <w:lvlText w:val=""/>
      <w:lvlJc w:val="left"/>
      <w:pPr>
        <w:ind w:left="5411" w:hanging="360"/>
      </w:pPr>
      <w:rPr>
        <w:rFonts w:ascii="Symbol" w:hAnsi="Symbol" w:hint="default"/>
      </w:rPr>
    </w:lvl>
    <w:lvl w:ilvl="7" w:tplc="1C0A0003" w:tentative="1">
      <w:start w:val="1"/>
      <w:numFmt w:val="bullet"/>
      <w:lvlText w:val="o"/>
      <w:lvlJc w:val="left"/>
      <w:pPr>
        <w:ind w:left="6131" w:hanging="360"/>
      </w:pPr>
      <w:rPr>
        <w:rFonts w:ascii="Courier New" w:hAnsi="Courier New" w:cs="Courier New" w:hint="default"/>
      </w:rPr>
    </w:lvl>
    <w:lvl w:ilvl="8" w:tplc="1C0A0005" w:tentative="1">
      <w:start w:val="1"/>
      <w:numFmt w:val="bullet"/>
      <w:lvlText w:val=""/>
      <w:lvlJc w:val="left"/>
      <w:pPr>
        <w:ind w:left="6851" w:hanging="360"/>
      </w:pPr>
      <w:rPr>
        <w:rFonts w:ascii="Wingdings" w:hAnsi="Wingdings" w:hint="default"/>
      </w:rPr>
    </w:lvl>
  </w:abstractNum>
  <w:abstractNum w:abstractNumId="22">
    <w:nsid w:val="68223542"/>
    <w:multiLevelType w:val="hybridMultilevel"/>
    <w:tmpl w:val="2084D718"/>
    <w:lvl w:ilvl="0" w:tplc="A94090CA">
      <w:start w:val="2"/>
      <w:numFmt w:val="bullet"/>
      <w:lvlText w:val="•"/>
      <w:lvlJc w:val="left"/>
      <w:pPr>
        <w:ind w:left="720" w:hanging="360"/>
      </w:pPr>
      <w:rPr>
        <w:rFonts w:ascii="Calibri" w:eastAsia="MS Mincho"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72335330"/>
    <w:multiLevelType w:val="hybridMultilevel"/>
    <w:tmpl w:val="5204E866"/>
    <w:lvl w:ilvl="0" w:tplc="82AC98EC">
      <w:start w:val="1"/>
      <w:numFmt w:val="bullet"/>
      <w:lvlText w:val="•"/>
      <w:lvlJc w:val="left"/>
      <w:pPr>
        <w:ind w:left="1065" w:hanging="705"/>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7A333CBE"/>
    <w:multiLevelType w:val="hybridMultilevel"/>
    <w:tmpl w:val="149AB1B8"/>
    <w:lvl w:ilvl="0" w:tplc="A94090CA">
      <w:start w:val="2"/>
      <w:numFmt w:val="bullet"/>
      <w:lvlText w:val="•"/>
      <w:lvlJc w:val="left"/>
      <w:pPr>
        <w:ind w:left="1080" w:hanging="360"/>
      </w:pPr>
      <w:rPr>
        <w:rFonts w:ascii="Calibri" w:eastAsia="MS Mincho" w:hAnsi="Calibri" w:cs="Calibri"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5">
    <w:nsid w:val="7DFA3D97"/>
    <w:multiLevelType w:val="hybridMultilevel"/>
    <w:tmpl w:val="2C029DD4"/>
    <w:lvl w:ilvl="0" w:tplc="82AC98EC">
      <w:start w:val="1"/>
      <w:numFmt w:val="bullet"/>
      <w:lvlText w:val="•"/>
      <w:lvlJc w:val="left"/>
      <w:pPr>
        <w:ind w:left="1065" w:hanging="705"/>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5"/>
  </w:num>
  <w:num w:numId="4">
    <w:abstractNumId w:val="20"/>
  </w:num>
  <w:num w:numId="5">
    <w:abstractNumId w:val="7"/>
  </w:num>
  <w:num w:numId="6">
    <w:abstractNumId w:val="22"/>
  </w:num>
  <w:num w:numId="7">
    <w:abstractNumId w:val="18"/>
  </w:num>
  <w:num w:numId="8">
    <w:abstractNumId w:val="4"/>
  </w:num>
  <w:num w:numId="9">
    <w:abstractNumId w:val="11"/>
  </w:num>
  <w:num w:numId="10">
    <w:abstractNumId w:val="16"/>
  </w:num>
  <w:num w:numId="11">
    <w:abstractNumId w:val="13"/>
  </w:num>
  <w:num w:numId="12">
    <w:abstractNumId w:val="0"/>
  </w:num>
  <w:num w:numId="13">
    <w:abstractNumId w:val="5"/>
  </w:num>
  <w:num w:numId="14">
    <w:abstractNumId w:val="17"/>
  </w:num>
  <w:num w:numId="15">
    <w:abstractNumId w:val="23"/>
  </w:num>
  <w:num w:numId="16">
    <w:abstractNumId w:val="25"/>
  </w:num>
  <w:num w:numId="17">
    <w:abstractNumId w:val="14"/>
  </w:num>
  <w:num w:numId="18">
    <w:abstractNumId w:val="9"/>
  </w:num>
  <w:num w:numId="19">
    <w:abstractNumId w:val="3"/>
  </w:num>
  <w:num w:numId="20">
    <w:abstractNumId w:val="21"/>
  </w:num>
  <w:num w:numId="21">
    <w:abstractNumId w:val="6"/>
  </w:num>
  <w:num w:numId="22">
    <w:abstractNumId w:val="19"/>
  </w:num>
  <w:num w:numId="23">
    <w:abstractNumId w:val="12"/>
  </w:num>
  <w:num w:numId="24">
    <w:abstractNumId w:val="24"/>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DD"/>
    <w:rsid w:val="000115F1"/>
    <w:rsid w:val="0001455D"/>
    <w:rsid w:val="00016804"/>
    <w:rsid w:val="00022265"/>
    <w:rsid w:val="00026961"/>
    <w:rsid w:val="00032ECB"/>
    <w:rsid w:val="00033773"/>
    <w:rsid w:val="000340A1"/>
    <w:rsid w:val="00034C2F"/>
    <w:rsid w:val="00051764"/>
    <w:rsid w:val="00051BA9"/>
    <w:rsid w:val="00061E86"/>
    <w:rsid w:val="00064C73"/>
    <w:rsid w:val="0008580E"/>
    <w:rsid w:val="00092F33"/>
    <w:rsid w:val="0009513D"/>
    <w:rsid w:val="0009618E"/>
    <w:rsid w:val="000B200A"/>
    <w:rsid w:val="000B253F"/>
    <w:rsid w:val="000C1161"/>
    <w:rsid w:val="000C1C1A"/>
    <w:rsid w:val="000C3A91"/>
    <w:rsid w:val="000C7344"/>
    <w:rsid w:val="000C748B"/>
    <w:rsid w:val="000D27F7"/>
    <w:rsid w:val="000E4C7A"/>
    <w:rsid w:val="000F03DC"/>
    <w:rsid w:val="000F4973"/>
    <w:rsid w:val="00103BD4"/>
    <w:rsid w:val="0010553C"/>
    <w:rsid w:val="001067CD"/>
    <w:rsid w:val="001105A8"/>
    <w:rsid w:val="001106A3"/>
    <w:rsid w:val="00112C1A"/>
    <w:rsid w:val="00115386"/>
    <w:rsid w:val="00116F10"/>
    <w:rsid w:val="00132A55"/>
    <w:rsid w:val="00135DDB"/>
    <w:rsid w:val="001405ED"/>
    <w:rsid w:val="00155E53"/>
    <w:rsid w:val="001615EC"/>
    <w:rsid w:val="00176E77"/>
    <w:rsid w:val="001779A5"/>
    <w:rsid w:val="0018062F"/>
    <w:rsid w:val="00183455"/>
    <w:rsid w:val="001838F5"/>
    <w:rsid w:val="0019759F"/>
    <w:rsid w:val="00197F81"/>
    <w:rsid w:val="001A6B9D"/>
    <w:rsid w:val="001A7D4A"/>
    <w:rsid w:val="001B039F"/>
    <w:rsid w:val="001B0EBD"/>
    <w:rsid w:val="001B14E1"/>
    <w:rsid w:val="001C0522"/>
    <w:rsid w:val="001C3C1C"/>
    <w:rsid w:val="001C6108"/>
    <w:rsid w:val="001D1566"/>
    <w:rsid w:val="001D35CA"/>
    <w:rsid w:val="001D5805"/>
    <w:rsid w:val="001E3EE1"/>
    <w:rsid w:val="001E4B1F"/>
    <w:rsid w:val="001E5808"/>
    <w:rsid w:val="001F7591"/>
    <w:rsid w:val="00202946"/>
    <w:rsid w:val="002055AC"/>
    <w:rsid w:val="002202F2"/>
    <w:rsid w:val="002239FF"/>
    <w:rsid w:val="0023222E"/>
    <w:rsid w:val="00234CAF"/>
    <w:rsid w:val="00235EDE"/>
    <w:rsid w:val="0024358A"/>
    <w:rsid w:val="002447FA"/>
    <w:rsid w:val="00244F64"/>
    <w:rsid w:val="0025179C"/>
    <w:rsid w:val="002552D6"/>
    <w:rsid w:val="00272CA4"/>
    <w:rsid w:val="0028070B"/>
    <w:rsid w:val="0029242A"/>
    <w:rsid w:val="0029393B"/>
    <w:rsid w:val="00294AAD"/>
    <w:rsid w:val="00297663"/>
    <w:rsid w:val="002B1B08"/>
    <w:rsid w:val="002C43CA"/>
    <w:rsid w:val="002E7B73"/>
    <w:rsid w:val="002F20CA"/>
    <w:rsid w:val="002F479F"/>
    <w:rsid w:val="002F6A17"/>
    <w:rsid w:val="0030696E"/>
    <w:rsid w:val="00311B75"/>
    <w:rsid w:val="0032416C"/>
    <w:rsid w:val="003242DA"/>
    <w:rsid w:val="00336F5C"/>
    <w:rsid w:val="00341BF2"/>
    <w:rsid w:val="003559DB"/>
    <w:rsid w:val="00376386"/>
    <w:rsid w:val="00382D5A"/>
    <w:rsid w:val="0038426C"/>
    <w:rsid w:val="003A4128"/>
    <w:rsid w:val="003A7529"/>
    <w:rsid w:val="003A7CB5"/>
    <w:rsid w:val="003B00F5"/>
    <w:rsid w:val="003B43D6"/>
    <w:rsid w:val="003B61B3"/>
    <w:rsid w:val="003B77E9"/>
    <w:rsid w:val="003C3192"/>
    <w:rsid w:val="003D1250"/>
    <w:rsid w:val="003D21AC"/>
    <w:rsid w:val="003D382C"/>
    <w:rsid w:val="003D3A7A"/>
    <w:rsid w:val="003D73C7"/>
    <w:rsid w:val="003E121B"/>
    <w:rsid w:val="003F243E"/>
    <w:rsid w:val="00401624"/>
    <w:rsid w:val="00402865"/>
    <w:rsid w:val="00412A46"/>
    <w:rsid w:val="00414DCA"/>
    <w:rsid w:val="00432EAC"/>
    <w:rsid w:val="0043475C"/>
    <w:rsid w:val="00437180"/>
    <w:rsid w:val="00437F0B"/>
    <w:rsid w:val="00453545"/>
    <w:rsid w:val="00454D5B"/>
    <w:rsid w:val="00467A67"/>
    <w:rsid w:val="00471A4C"/>
    <w:rsid w:val="00472627"/>
    <w:rsid w:val="00474917"/>
    <w:rsid w:val="00484F87"/>
    <w:rsid w:val="0049017F"/>
    <w:rsid w:val="004A22B9"/>
    <w:rsid w:val="004A4C76"/>
    <w:rsid w:val="004B2BDE"/>
    <w:rsid w:val="004B3D03"/>
    <w:rsid w:val="004B64A6"/>
    <w:rsid w:val="004C07C7"/>
    <w:rsid w:val="004D0F97"/>
    <w:rsid w:val="004D2BDA"/>
    <w:rsid w:val="004D2C79"/>
    <w:rsid w:val="004D2EE2"/>
    <w:rsid w:val="004D4A89"/>
    <w:rsid w:val="004D6C16"/>
    <w:rsid w:val="004E4492"/>
    <w:rsid w:val="004E44C7"/>
    <w:rsid w:val="004E6F14"/>
    <w:rsid w:val="004F60A8"/>
    <w:rsid w:val="00500770"/>
    <w:rsid w:val="00502FE1"/>
    <w:rsid w:val="00504A19"/>
    <w:rsid w:val="00505D23"/>
    <w:rsid w:val="00506D46"/>
    <w:rsid w:val="00506EEA"/>
    <w:rsid w:val="00507C56"/>
    <w:rsid w:val="0051766F"/>
    <w:rsid w:val="0053145D"/>
    <w:rsid w:val="00536A24"/>
    <w:rsid w:val="00540B6C"/>
    <w:rsid w:val="00547F61"/>
    <w:rsid w:val="005512E8"/>
    <w:rsid w:val="00553B02"/>
    <w:rsid w:val="00555016"/>
    <w:rsid w:val="005553CA"/>
    <w:rsid w:val="00565542"/>
    <w:rsid w:val="00566089"/>
    <w:rsid w:val="00566E70"/>
    <w:rsid w:val="00574275"/>
    <w:rsid w:val="005849C5"/>
    <w:rsid w:val="005905EF"/>
    <w:rsid w:val="0059427D"/>
    <w:rsid w:val="00596C34"/>
    <w:rsid w:val="005A0752"/>
    <w:rsid w:val="005A1BAB"/>
    <w:rsid w:val="005A5042"/>
    <w:rsid w:val="005A6766"/>
    <w:rsid w:val="005B7188"/>
    <w:rsid w:val="005C102B"/>
    <w:rsid w:val="005C2277"/>
    <w:rsid w:val="005E5BB3"/>
    <w:rsid w:val="005E6758"/>
    <w:rsid w:val="005F64F8"/>
    <w:rsid w:val="006002FF"/>
    <w:rsid w:val="00601AD8"/>
    <w:rsid w:val="00610A1D"/>
    <w:rsid w:val="00612C06"/>
    <w:rsid w:val="00612FBD"/>
    <w:rsid w:val="00612FEC"/>
    <w:rsid w:val="00616896"/>
    <w:rsid w:val="00624A1B"/>
    <w:rsid w:val="00627CB8"/>
    <w:rsid w:val="006368D4"/>
    <w:rsid w:val="00640991"/>
    <w:rsid w:val="00640E67"/>
    <w:rsid w:val="00641D96"/>
    <w:rsid w:val="00643683"/>
    <w:rsid w:val="00651000"/>
    <w:rsid w:val="0065283B"/>
    <w:rsid w:val="00656922"/>
    <w:rsid w:val="006749BE"/>
    <w:rsid w:val="0068254F"/>
    <w:rsid w:val="0068672F"/>
    <w:rsid w:val="00687E15"/>
    <w:rsid w:val="00691E6E"/>
    <w:rsid w:val="00693E5C"/>
    <w:rsid w:val="006A0E9F"/>
    <w:rsid w:val="006A4EBF"/>
    <w:rsid w:val="006B3706"/>
    <w:rsid w:val="006B53D4"/>
    <w:rsid w:val="006C06DE"/>
    <w:rsid w:val="006D047F"/>
    <w:rsid w:val="006D1D80"/>
    <w:rsid w:val="006D67BE"/>
    <w:rsid w:val="006E1C9B"/>
    <w:rsid w:val="006E4641"/>
    <w:rsid w:val="006E555B"/>
    <w:rsid w:val="006E5749"/>
    <w:rsid w:val="006F4BBA"/>
    <w:rsid w:val="0070104C"/>
    <w:rsid w:val="007041C5"/>
    <w:rsid w:val="00704BE7"/>
    <w:rsid w:val="00705447"/>
    <w:rsid w:val="007070DD"/>
    <w:rsid w:val="00712F85"/>
    <w:rsid w:val="00717158"/>
    <w:rsid w:val="0071718C"/>
    <w:rsid w:val="0072164D"/>
    <w:rsid w:val="00725590"/>
    <w:rsid w:val="00732158"/>
    <w:rsid w:val="00733EB9"/>
    <w:rsid w:val="00735A5A"/>
    <w:rsid w:val="0073652C"/>
    <w:rsid w:val="00736B98"/>
    <w:rsid w:val="00747B15"/>
    <w:rsid w:val="007607E6"/>
    <w:rsid w:val="00773A87"/>
    <w:rsid w:val="00774AED"/>
    <w:rsid w:val="00777624"/>
    <w:rsid w:val="007803AB"/>
    <w:rsid w:val="0079301F"/>
    <w:rsid w:val="007953DD"/>
    <w:rsid w:val="007B1029"/>
    <w:rsid w:val="007B2DBC"/>
    <w:rsid w:val="007B3AE5"/>
    <w:rsid w:val="007B7D84"/>
    <w:rsid w:val="007D3D6B"/>
    <w:rsid w:val="007E08A5"/>
    <w:rsid w:val="007E3E08"/>
    <w:rsid w:val="007E6CA6"/>
    <w:rsid w:val="007F3AFF"/>
    <w:rsid w:val="007F51F9"/>
    <w:rsid w:val="00811DDC"/>
    <w:rsid w:val="00823732"/>
    <w:rsid w:val="00832ED2"/>
    <w:rsid w:val="00836B2D"/>
    <w:rsid w:val="0083743B"/>
    <w:rsid w:val="00841147"/>
    <w:rsid w:val="008435CD"/>
    <w:rsid w:val="00844066"/>
    <w:rsid w:val="00844F1B"/>
    <w:rsid w:val="00846514"/>
    <w:rsid w:val="00856941"/>
    <w:rsid w:val="00857B25"/>
    <w:rsid w:val="008627CA"/>
    <w:rsid w:val="008652E4"/>
    <w:rsid w:val="00865AFC"/>
    <w:rsid w:val="0086673E"/>
    <w:rsid w:val="00883CA9"/>
    <w:rsid w:val="00894F3A"/>
    <w:rsid w:val="008A2ACC"/>
    <w:rsid w:val="008B07D2"/>
    <w:rsid w:val="008B28C0"/>
    <w:rsid w:val="008B3D8B"/>
    <w:rsid w:val="008C2844"/>
    <w:rsid w:val="008D0AB8"/>
    <w:rsid w:val="008D1ED8"/>
    <w:rsid w:val="008D25FA"/>
    <w:rsid w:val="008E285F"/>
    <w:rsid w:val="008E5633"/>
    <w:rsid w:val="008E670C"/>
    <w:rsid w:val="008E7199"/>
    <w:rsid w:val="008F4A11"/>
    <w:rsid w:val="008F666E"/>
    <w:rsid w:val="008F7689"/>
    <w:rsid w:val="009020D9"/>
    <w:rsid w:val="009027D2"/>
    <w:rsid w:val="009031A7"/>
    <w:rsid w:val="00910742"/>
    <w:rsid w:val="0091671D"/>
    <w:rsid w:val="00923117"/>
    <w:rsid w:val="0092555F"/>
    <w:rsid w:val="00927228"/>
    <w:rsid w:val="00930BF5"/>
    <w:rsid w:val="00931B8F"/>
    <w:rsid w:val="009342B4"/>
    <w:rsid w:val="00940B51"/>
    <w:rsid w:val="009431B8"/>
    <w:rsid w:val="009453B1"/>
    <w:rsid w:val="009466EE"/>
    <w:rsid w:val="009479CE"/>
    <w:rsid w:val="00950FA2"/>
    <w:rsid w:val="0095151D"/>
    <w:rsid w:val="00951962"/>
    <w:rsid w:val="00953660"/>
    <w:rsid w:val="00961521"/>
    <w:rsid w:val="00963203"/>
    <w:rsid w:val="00972578"/>
    <w:rsid w:val="0097489A"/>
    <w:rsid w:val="00976104"/>
    <w:rsid w:val="00976843"/>
    <w:rsid w:val="00982832"/>
    <w:rsid w:val="0098361A"/>
    <w:rsid w:val="00984B34"/>
    <w:rsid w:val="0099435E"/>
    <w:rsid w:val="0099706F"/>
    <w:rsid w:val="009A3D3F"/>
    <w:rsid w:val="009B34D3"/>
    <w:rsid w:val="009B5663"/>
    <w:rsid w:val="009B6DBA"/>
    <w:rsid w:val="009C222A"/>
    <w:rsid w:val="009C4296"/>
    <w:rsid w:val="009C436F"/>
    <w:rsid w:val="009D26EC"/>
    <w:rsid w:val="009D4170"/>
    <w:rsid w:val="009D6093"/>
    <w:rsid w:val="009D7F19"/>
    <w:rsid w:val="009E629E"/>
    <w:rsid w:val="009E79BD"/>
    <w:rsid w:val="009F028A"/>
    <w:rsid w:val="009F4BCB"/>
    <w:rsid w:val="00A02D87"/>
    <w:rsid w:val="00A11442"/>
    <w:rsid w:val="00A13733"/>
    <w:rsid w:val="00A155C0"/>
    <w:rsid w:val="00A41B27"/>
    <w:rsid w:val="00A42769"/>
    <w:rsid w:val="00A50605"/>
    <w:rsid w:val="00A545F6"/>
    <w:rsid w:val="00A61035"/>
    <w:rsid w:val="00A71908"/>
    <w:rsid w:val="00A75337"/>
    <w:rsid w:val="00A7636D"/>
    <w:rsid w:val="00A82D31"/>
    <w:rsid w:val="00A82EB6"/>
    <w:rsid w:val="00A8339D"/>
    <w:rsid w:val="00A914C6"/>
    <w:rsid w:val="00AA068B"/>
    <w:rsid w:val="00AA376A"/>
    <w:rsid w:val="00AA4FF7"/>
    <w:rsid w:val="00AB6F2F"/>
    <w:rsid w:val="00AD1BB5"/>
    <w:rsid w:val="00AD3F6A"/>
    <w:rsid w:val="00AD6171"/>
    <w:rsid w:val="00AD69CB"/>
    <w:rsid w:val="00AD7038"/>
    <w:rsid w:val="00AE34A4"/>
    <w:rsid w:val="00AF2373"/>
    <w:rsid w:val="00AF4745"/>
    <w:rsid w:val="00B104AA"/>
    <w:rsid w:val="00B157BB"/>
    <w:rsid w:val="00B26401"/>
    <w:rsid w:val="00B33788"/>
    <w:rsid w:val="00B3569C"/>
    <w:rsid w:val="00B37514"/>
    <w:rsid w:val="00B4506B"/>
    <w:rsid w:val="00B50C69"/>
    <w:rsid w:val="00B515C8"/>
    <w:rsid w:val="00B517D9"/>
    <w:rsid w:val="00B52A23"/>
    <w:rsid w:val="00B5352A"/>
    <w:rsid w:val="00B53D72"/>
    <w:rsid w:val="00B54157"/>
    <w:rsid w:val="00B56B9C"/>
    <w:rsid w:val="00B61315"/>
    <w:rsid w:val="00B65BD7"/>
    <w:rsid w:val="00B73178"/>
    <w:rsid w:val="00B737D4"/>
    <w:rsid w:val="00B77302"/>
    <w:rsid w:val="00B81054"/>
    <w:rsid w:val="00B8252E"/>
    <w:rsid w:val="00B86406"/>
    <w:rsid w:val="00B903A9"/>
    <w:rsid w:val="00B93688"/>
    <w:rsid w:val="00B95BCC"/>
    <w:rsid w:val="00BA6FDC"/>
    <w:rsid w:val="00BB032F"/>
    <w:rsid w:val="00BB05AD"/>
    <w:rsid w:val="00BB07ED"/>
    <w:rsid w:val="00BB0FAE"/>
    <w:rsid w:val="00BC7788"/>
    <w:rsid w:val="00BD1845"/>
    <w:rsid w:val="00BD3563"/>
    <w:rsid w:val="00BE0225"/>
    <w:rsid w:val="00C03461"/>
    <w:rsid w:val="00C04E8B"/>
    <w:rsid w:val="00C069EF"/>
    <w:rsid w:val="00C132DA"/>
    <w:rsid w:val="00C25473"/>
    <w:rsid w:val="00C27DF8"/>
    <w:rsid w:val="00C36B05"/>
    <w:rsid w:val="00C41E63"/>
    <w:rsid w:val="00C450BF"/>
    <w:rsid w:val="00C50B65"/>
    <w:rsid w:val="00C57ACC"/>
    <w:rsid w:val="00C62E99"/>
    <w:rsid w:val="00C679A5"/>
    <w:rsid w:val="00C74C81"/>
    <w:rsid w:val="00C7592B"/>
    <w:rsid w:val="00C82580"/>
    <w:rsid w:val="00C82B11"/>
    <w:rsid w:val="00C93707"/>
    <w:rsid w:val="00C96940"/>
    <w:rsid w:val="00CA59C3"/>
    <w:rsid w:val="00CB4755"/>
    <w:rsid w:val="00CB4A7F"/>
    <w:rsid w:val="00CB4D97"/>
    <w:rsid w:val="00CC288B"/>
    <w:rsid w:val="00CC3403"/>
    <w:rsid w:val="00CC6290"/>
    <w:rsid w:val="00CC7884"/>
    <w:rsid w:val="00CD3C8E"/>
    <w:rsid w:val="00CE1610"/>
    <w:rsid w:val="00CE3DAC"/>
    <w:rsid w:val="00CF0CA5"/>
    <w:rsid w:val="00CF244E"/>
    <w:rsid w:val="00CF6D42"/>
    <w:rsid w:val="00D03464"/>
    <w:rsid w:val="00D04357"/>
    <w:rsid w:val="00D05CB1"/>
    <w:rsid w:val="00D10E32"/>
    <w:rsid w:val="00D12F81"/>
    <w:rsid w:val="00D148A1"/>
    <w:rsid w:val="00D14C9F"/>
    <w:rsid w:val="00D1506B"/>
    <w:rsid w:val="00D201EE"/>
    <w:rsid w:val="00D236C8"/>
    <w:rsid w:val="00D237BD"/>
    <w:rsid w:val="00D361AA"/>
    <w:rsid w:val="00D4443D"/>
    <w:rsid w:val="00D530B4"/>
    <w:rsid w:val="00D554B6"/>
    <w:rsid w:val="00D659B9"/>
    <w:rsid w:val="00D83123"/>
    <w:rsid w:val="00D902AF"/>
    <w:rsid w:val="00D91E56"/>
    <w:rsid w:val="00D95CC6"/>
    <w:rsid w:val="00DA016E"/>
    <w:rsid w:val="00DA0584"/>
    <w:rsid w:val="00DA54BF"/>
    <w:rsid w:val="00DA5CBF"/>
    <w:rsid w:val="00DB06BE"/>
    <w:rsid w:val="00DB259A"/>
    <w:rsid w:val="00DB272D"/>
    <w:rsid w:val="00DB5EBD"/>
    <w:rsid w:val="00DC58F1"/>
    <w:rsid w:val="00DD068E"/>
    <w:rsid w:val="00DD456F"/>
    <w:rsid w:val="00DD6E9B"/>
    <w:rsid w:val="00DE1472"/>
    <w:rsid w:val="00DE3188"/>
    <w:rsid w:val="00DE4047"/>
    <w:rsid w:val="00DF59F8"/>
    <w:rsid w:val="00E05732"/>
    <w:rsid w:val="00E07C4D"/>
    <w:rsid w:val="00E1154F"/>
    <w:rsid w:val="00E12375"/>
    <w:rsid w:val="00E14538"/>
    <w:rsid w:val="00E1567B"/>
    <w:rsid w:val="00E217C6"/>
    <w:rsid w:val="00E36023"/>
    <w:rsid w:val="00E42173"/>
    <w:rsid w:val="00E43C1D"/>
    <w:rsid w:val="00E44703"/>
    <w:rsid w:val="00E54768"/>
    <w:rsid w:val="00E60C07"/>
    <w:rsid w:val="00E64E5E"/>
    <w:rsid w:val="00E659F5"/>
    <w:rsid w:val="00E866CA"/>
    <w:rsid w:val="00E91704"/>
    <w:rsid w:val="00E92AF2"/>
    <w:rsid w:val="00EB1183"/>
    <w:rsid w:val="00EC074C"/>
    <w:rsid w:val="00EC6D04"/>
    <w:rsid w:val="00ED1D22"/>
    <w:rsid w:val="00ED3381"/>
    <w:rsid w:val="00ED60D7"/>
    <w:rsid w:val="00EE29B1"/>
    <w:rsid w:val="00EE3BC5"/>
    <w:rsid w:val="00EE5C05"/>
    <w:rsid w:val="00EE5C8D"/>
    <w:rsid w:val="00EE7EC6"/>
    <w:rsid w:val="00EF1A0A"/>
    <w:rsid w:val="00EF6801"/>
    <w:rsid w:val="00F06EA5"/>
    <w:rsid w:val="00F10DC6"/>
    <w:rsid w:val="00F234C6"/>
    <w:rsid w:val="00F252FC"/>
    <w:rsid w:val="00F27CD4"/>
    <w:rsid w:val="00F32386"/>
    <w:rsid w:val="00F33EED"/>
    <w:rsid w:val="00F42C82"/>
    <w:rsid w:val="00F449D7"/>
    <w:rsid w:val="00F511BC"/>
    <w:rsid w:val="00F51371"/>
    <w:rsid w:val="00F515E6"/>
    <w:rsid w:val="00F52169"/>
    <w:rsid w:val="00F53694"/>
    <w:rsid w:val="00F71F61"/>
    <w:rsid w:val="00F750CE"/>
    <w:rsid w:val="00F75439"/>
    <w:rsid w:val="00F76A7B"/>
    <w:rsid w:val="00F76ADB"/>
    <w:rsid w:val="00F84869"/>
    <w:rsid w:val="00F933CC"/>
    <w:rsid w:val="00F93BE8"/>
    <w:rsid w:val="00F94923"/>
    <w:rsid w:val="00F964DB"/>
    <w:rsid w:val="00FB136E"/>
    <w:rsid w:val="00FB36C5"/>
    <w:rsid w:val="00FB3ACE"/>
    <w:rsid w:val="00FB5127"/>
    <w:rsid w:val="00FB6A36"/>
    <w:rsid w:val="00FC169B"/>
    <w:rsid w:val="00FC3DA9"/>
    <w:rsid w:val="00FC7AF0"/>
    <w:rsid w:val="00FE77F6"/>
    <w:rsid w:val="00FF19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183"/>
    <w:rPr>
      <w:rFonts w:ascii="Tahoma" w:hAnsi="Tahoma" w:cs="Tahoma"/>
      <w:sz w:val="16"/>
      <w:szCs w:val="16"/>
    </w:rPr>
  </w:style>
  <w:style w:type="paragraph" w:styleId="Epgrafe">
    <w:name w:val="caption"/>
    <w:basedOn w:val="Normal"/>
    <w:next w:val="Normal"/>
    <w:uiPriority w:val="35"/>
    <w:unhideWhenUsed/>
    <w:qFormat/>
    <w:rsid w:val="009D4170"/>
    <w:pPr>
      <w:spacing w:line="240" w:lineRule="auto"/>
    </w:pPr>
    <w:rPr>
      <w:b/>
      <w:bCs/>
      <w:color w:val="4F81BD" w:themeColor="accent1"/>
      <w:sz w:val="18"/>
      <w:szCs w:val="18"/>
    </w:rPr>
  </w:style>
  <w:style w:type="paragraph" w:styleId="Prrafodelista">
    <w:name w:val="List Paragraph"/>
    <w:basedOn w:val="Normal"/>
    <w:uiPriority w:val="34"/>
    <w:qFormat/>
    <w:rsid w:val="00471A4C"/>
    <w:pPr>
      <w:ind w:left="720"/>
      <w:contextualSpacing/>
    </w:pPr>
  </w:style>
  <w:style w:type="paragraph" w:styleId="Sinespaciado">
    <w:name w:val="No Spacing"/>
    <w:uiPriority w:val="1"/>
    <w:qFormat/>
    <w:rsid w:val="00DA5CBF"/>
    <w:pPr>
      <w:spacing w:after="0" w:line="240" w:lineRule="auto"/>
    </w:pPr>
    <w:rPr>
      <w:rFonts w:eastAsiaTheme="minorHAnsi"/>
    </w:rPr>
  </w:style>
  <w:style w:type="paragraph" w:styleId="Textonotapie">
    <w:name w:val="footnote text"/>
    <w:basedOn w:val="Normal"/>
    <w:link w:val="TextonotapieCar"/>
    <w:uiPriority w:val="99"/>
    <w:semiHidden/>
    <w:unhideWhenUsed/>
    <w:rsid w:val="00DA01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6E"/>
    <w:rPr>
      <w:sz w:val="20"/>
      <w:szCs w:val="20"/>
    </w:rPr>
  </w:style>
  <w:style w:type="character" w:styleId="Refdenotaalpie">
    <w:name w:val="footnote reference"/>
    <w:basedOn w:val="Fuentedeprrafopredeter"/>
    <w:uiPriority w:val="99"/>
    <w:semiHidden/>
    <w:unhideWhenUsed/>
    <w:rsid w:val="00DA016E"/>
    <w:rPr>
      <w:vertAlign w:val="superscript"/>
    </w:rPr>
  </w:style>
  <w:style w:type="paragraph" w:styleId="Encabezado">
    <w:name w:val="header"/>
    <w:basedOn w:val="Normal"/>
    <w:link w:val="EncabezadoCar"/>
    <w:uiPriority w:val="99"/>
    <w:unhideWhenUsed/>
    <w:rsid w:val="00FB5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127"/>
  </w:style>
  <w:style w:type="paragraph" w:styleId="Piedepgina">
    <w:name w:val="footer"/>
    <w:basedOn w:val="Normal"/>
    <w:link w:val="PiedepginaCar"/>
    <w:uiPriority w:val="99"/>
    <w:unhideWhenUsed/>
    <w:rsid w:val="00FB51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127"/>
  </w:style>
  <w:style w:type="table" w:styleId="Tablaconcuadrcula">
    <w:name w:val="Table Grid"/>
    <w:basedOn w:val="Tablanormal"/>
    <w:uiPriority w:val="59"/>
    <w:rsid w:val="002807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F25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DO"/>
    </w:rPr>
  </w:style>
  <w:style w:type="character" w:customStyle="1" w:styleId="TtuloCar">
    <w:name w:val="Título Car"/>
    <w:basedOn w:val="Fuentedeprrafopredeter"/>
    <w:link w:val="Ttulo"/>
    <w:uiPriority w:val="10"/>
    <w:rsid w:val="00F252FC"/>
    <w:rPr>
      <w:rFonts w:asciiTheme="majorHAnsi" w:eastAsiaTheme="majorEastAsia" w:hAnsiTheme="majorHAnsi" w:cstheme="majorBidi"/>
      <w:color w:val="17365D" w:themeColor="text2" w:themeShade="BF"/>
      <w:spacing w:val="5"/>
      <w:kern w:val="28"/>
      <w:sz w:val="52"/>
      <w:szCs w:val="52"/>
      <w:lang w:eastAsia="es-DO"/>
    </w:rPr>
  </w:style>
  <w:style w:type="paragraph" w:styleId="Subttulo">
    <w:name w:val="Subtitle"/>
    <w:basedOn w:val="Normal"/>
    <w:next w:val="Normal"/>
    <w:link w:val="SubttuloCar"/>
    <w:uiPriority w:val="11"/>
    <w:qFormat/>
    <w:rsid w:val="00F252FC"/>
    <w:pPr>
      <w:numPr>
        <w:ilvl w:val="1"/>
      </w:numPr>
    </w:pPr>
    <w:rPr>
      <w:rFonts w:asciiTheme="majorHAnsi" w:eastAsiaTheme="majorEastAsia" w:hAnsiTheme="majorHAnsi" w:cstheme="majorBidi"/>
      <w:i/>
      <w:iCs/>
      <w:color w:val="4F81BD" w:themeColor="accent1"/>
      <w:spacing w:val="15"/>
      <w:sz w:val="24"/>
      <w:szCs w:val="24"/>
      <w:lang w:eastAsia="es-DO"/>
    </w:rPr>
  </w:style>
  <w:style w:type="character" w:customStyle="1" w:styleId="SubttuloCar">
    <w:name w:val="Subtítulo Car"/>
    <w:basedOn w:val="Fuentedeprrafopredeter"/>
    <w:link w:val="Subttulo"/>
    <w:uiPriority w:val="11"/>
    <w:rsid w:val="00F252FC"/>
    <w:rPr>
      <w:rFonts w:asciiTheme="majorHAnsi" w:eastAsiaTheme="majorEastAsia" w:hAnsiTheme="majorHAnsi" w:cstheme="majorBidi"/>
      <w:i/>
      <w:iCs/>
      <w:color w:val="4F81BD" w:themeColor="accent1"/>
      <w:spacing w:val="15"/>
      <w:sz w:val="24"/>
      <w:szCs w:val="24"/>
      <w:lang w:eastAsia="es-DO"/>
    </w:rPr>
  </w:style>
  <w:style w:type="paragraph" w:styleId="z-Principiodelformulario">
    <w:name w:val="HTML Top of Form"/>
    <w:basedOn w:val="Normal"/>
    <w:next w:val="Normal"/>
    <w:link w:val="z-PrincipiodelformularioCar"/>
    <w:hidden/>
    <w:uiPriority w:val="99"/>
    <w:semiHidden/>
    <w:unhideWhenUsed/>
    <w:rsid w:val="00CD3C8E"/>
    <w:pPr>
      <w:pBdr>
        <w:bottom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PrincipiodelformularioCar">
    <w:name w:val="z-Principio del formulario Car"/>
    <w:basedOn w:val="Fuentedeprrafopredeter"/>
    <w:link w:val="z-Principiodelformulario"/>
    <w:uiPriority w:val="99"/>
    <w:semiHidden/>
    <w:rsid w:val="00CD3C8E"/>
    <w:rPr>
      <w:rFonts w:ascii="Arial" w:eastAsia="Times New Roman" w:hAnsi="Arial" w:cs="Arial"/>
      <w:vanish/>
      <w:sz w:val="16"/>
      <w:szCs w:val="16"/>
      <w:lang w:eastAsia="es-DO"/>
    </w:rPr>
  </w:style>
  <w:style w:type="paragraph" w:styleId="z-Finaldelformulario">
    <w:name w:val="HTML Bottom of Form"/>
    <w:basedOn w:val="Normal"/>
    <w:next w:val="Normal"/>
    <w:link w:val="z-FinaldelformularioCar"/>
    <w:hidden/>
    <w:uiPriority w:val="99"/>
    <w:semiHidden/>
    <w:unhideWhenUsed/>
    <w:rsid w:val="00CD3C8E"/>
    <w:pPr>
      <w:pBdr>
        <w:top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FinaldelformularioCar">
    <w:name w:val="z-Final del formulario Car"/>
    <w:basedOn w:val="Fuentedeprrafopredeter"/>
    <w:link w:val="z-Finaldelformulario"/>
    <w:uiPriority w:val="99"/>
    <w:semiHidden/>
    <w:rsid w:val="00CD3C8E"/>
    <w:rPr>
      <w:rFonts w:ascii="Arial" w:eastAsia="Times New Roman" w:hAnsi="Arial" w:cs="Arial"/>
      <w:vanish/>
      <w:sz w:val="16"/>
      <w:szCs w:val="16"/>
      <w:lang w:eastAsia="es-DO"/>
    </w:rPr>
  </w:style>
  <w:style w:type="table" w:styleId="Sombreadomedio1-nfasis5">
    <w:name w:val="Medium Shading 1 Accent 5"/>
    <w:basedOn w:val="Tablanormal"/>
    <w:uiPriority w:val="63"/>
    <w:rsid w:val="005F64F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BD1845"/>
    <w:rPr>
      <w:sz w:val="16"/>
      <w:szCs w:val="16"/>
    </w:rPr>
  </w:style>
  <w:style w:type="paragraph" w:styleId="Textocomentario">
    <w:name w:val="annotation text"/>
    <w:basedOn w:val="Normal"/>
    <w:link w:val="TextocomentarioCar"/>
    <w:uiPriority w:val="99"/>
    <w:semiHidden/>
    <w:unhideWhenUsed/>
    <w:rsid w:val="00BD18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1845"/>
    <w:rPr>
      <w:sz w:val="20"/>
      <w:szCs w:val="20"/>
    </w:rPr>
  </w:style>
  <w:style w:type="paragraph" w:styleId="Asuntodelcomentario">
    <w:name w:val="annotation subject"/>
    <w:basedOn w:val="Textocomentario"/>
    <w:next w:val="Textocomentario"/>
    <w:link w:val="AsuntodelcomentarioCar"/>
    <w:uiPriority w:val="99"/>
    <w:semiHidden/>
    <w:unhideWhenUsed/>
    <w:rsid w:val="00BD1845"/>
    <w:rPr>
      <w:b/>
      <w:bCs/>
    </w:rPr>
  </w:style>
  <w:style w:type="character" w:customStyle="1" w:styleId="AsuntodelcomentarioCar">
    <w:name w:val="Asunto del comentario Car"/>
    <w:basedOn w:val="TextocomentarioCar"/>
    <w:link w:val="Asuntodelcomentario"/>
    <w:uiPriority w:val="99"/>
    <w:semiHidden/>
    <w:rsid w:val="00BD18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183"/>
    <w:rPr>
      <w:rFonts w:ascii="Tahoma" w:hAnsi="Tahoma" w:cs="Tahoma"/>
      <w:sz w:val="16"/>
      <w:szCs w:val="16"/>
    </w:rPr>
  </w:style>
  <w:style w:type="paragraph" w:styleId="Epgrafe">
    <w:name w:val="caption"/>
    <w:basedOn w:val="Normal"/>
    <w:next w:val="Normal"/>
    <w:uiPriority w:val="35"/>
    <w:unhideWhenUsed/>
    <w:qFormat/>
    <w:rsid w:val="009D4170"/>
    <w:pPr>
      <w:spacing w:line="240" w:lineRule="auto"/>
    </w:pPr>
    <w:rPr>
      <w:b/>
      <w:bCs/>
      <w:color w:val="4F81BD" w:themeColor="accent1"/>
      <w:sz w:val="18"/>
      <w:szCs w:val="18"/>
    </w:rPr>
  </w:style>
  <w:style w:type="paragraph" w:styleId="Prrafodelista">
    <w:name w:val="List Paragraph"/>
    <w:basedOn w:val="Normal"/>
    <w:uiPriority w:val="34"/>
    <w:qFormat/>
    <w:rsid w:val="00471A4C"/>
    <w:pPr>
      <w:ind w:left="720"/>
      <w:contextualSpacing/>
    </w:pPr>
  </w:style>
  <w:style w:type="paragraph" w:styleId="Sinespaciado">
    <w:name w:val="No Spacing"/>
    <w:uiPriority w:val="1"/>
    <w:qFormat/>
    <w:rsid w:val="00DA5CBF"/>
    <w:pPr>
      <w:spacing w:after="0" w:line="240" w:lineRule="auto"/>
    </w:pPr>
    <w:rPr>
      <w:rFonts w:eastAsiaTheme="minorHAnsi"/>
    </w:rPr>
  </w:style>
  <w:style w:type="paragraph" w:styleId="Textonotapie">
    <w:name w:val="footnote text"/>
    <w:basedOn w:val="Normal"/>
    <w:link w:val="TextonotapieCar"/>
    <w:uiPriority w:val="99"/>
    <w:semiHidden/>
    <w:unhideWhenUsed/>
    <w:rsid w:val="00DA01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6E"/>
    <w:rPr>
      <w:sz w:val="20"/>
      <w:szCs w:val="20"/>
    </w:rPr>
  </w:style>
  <w:style w:type="character" w:styleId="Refdenotaalpie">
    <w:name w:val="footnote reference"/>
    <w:basedOn w:val="Fuentedeprrafopredeter"/>
    <w:uiPriority w:val="99"/>
    <w:semiHidden/>
    <w:unhideWhenUsed/>
    <w:rsid w:val="00DA016E"/>
    <w:rPr>
      <w:vertAlign w:val="superscript"/>
    </w:rPr>
  </w:style>
  <w:style w:type="paragraph" w:styleId="Encabezado">
    <w:name w:val="header"/>
    <w:basedOn w:val="Normal"/>
    <w:link w:val="EncabezadoCar"/>
    <w:uiPriority w:val="99"/>
    <w:unhideWhenUsed/>
    <w:rsid w:val="00FB5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127"/>
  </w:style>
  <w:style w:type="paragraph" w:styleId="Piedepgina">
    <w:name w:val="footer"/>
    <w:basedOn w:val="Normal"/>
    <w:link w:val="PiedepginaCar"/>
    <w:uiPriority w:val="99"/>
    <w:unhideWhenUsed/>
    <w:rsid w:val="00FB51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127"/>
  </w:style>
  <w:style w:type="table" w:styleId="Tablaconcuadrcula">
    <w:name w:val="Table Grid"/>
    <w:basedOn w:val="Tablanormal"/>
    <w:uiPriority w:val="59"/>
    <w:rsid w:val="002807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F252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DO"/>
    </w:rPr>
  </w:style>
  <w:style w:type="character" w:customStyle="1" w:styleId="TtuloCar">
    <w:name w:val="Título Car"/>
    <w:basedOn w:val="Fuentedeprrafopredeter"/>
    <w:link w:val="Ttulo"/>
    <w:uiPriority w:val="10"/>
    <w:rsid w:val="00F252FC"/>
    <w:rPr>
      <w:rFonts w:asciiTheme="majorHAnsi" w:eastAsiaTheme="majorEastAsia" w:hAnsiTheme="majorHAnsi" w:cstheme="majorBidi"/>
      <w:color w:val="17365D" w:themeColor="text2" w:themeShade="BF"/>
      <w:spacing w:val="5"/>
      <w:kern w:val="28"/>
      <w:sz w:val="52"/>
      <w:szCs w:val="52"/>
      <w:lang w:eastAsia="es-DO"/>
    </w:rPr>
  </w:style>
  <w:style w:type="paragraph" w:styleId="Subttulo">
    <w:name w:val="Subtitle"/>
    <w:basedOn w:val="Normal"/>
    <w:next w:val="Normal"/>
    <w:link w:val="SubttuloCar"/>
    <w:uiPriority w:val="11"/>
    <w:qFormat/>
    <w:rsid w:val="00F252FC"/>
    <w:pPr>
      <w:numPr>
        <w:ilvl w:val="1"/>
      </w:numPr>
    </w:pPr>
    <w:rPr>
      <w:rFonts w:asciiTheme="majorHAnsi" w:eastAsiaTheme="majorEastAsia" w:hAnsiTheme="majorHAnsi" w:cstheme="majorBidi"/>
      <w:i/>
      <w:iCs/>
      <w:color w:val="4F81BD" w:themeColor="accent1"/>
      <w:spacing w:val="15"/>
      <w:sz w:val="24"/>
      <w:szCs w:val="24"/>
      <w:lang w:eastAsia="es-DO"/>
    </w:rPr>
  </w:style>
  <w:style w:type="character" w:customStyle="1" w:styleId="SubttuloCar">
    <w:name w:val="Subtítulo Car"/>
    <w:basedOn w:val="Fuentedeprrafopredeter"/>
    <w:link w:val="Subttulo"/>
    <w:uiPriority w:val="11"/>
    <w:rsid w:val="00F252FC"/>
    <w:rPr>
      <w:rFonts w:asciiTheme="majorHAnsi" w:eastAsiaTheme="majorEastAsia" w:hAnsiTheme="majorHAnsi" w:cstheme="majorBidi"/>
      <w:i/>
      <w:iCs/>
      <w:color w:val="4F81BD" w:themeColor="accent1"/>
      <w:spacing w:val="15"/>
      <w:sz w:val="24"/>
      <w:szCs w:val="24"/>
      <w:lang w:eastAsia="es-DO"/>
    </w:rPr>
  </w:style>
  <w:style w:type="paragraph" w:styleId="z-Principiodelformulario">
    <w:name w:val="HTML Top of Form"/>
    <w:basedOn w:val="Normal"/>
    <w:next w:val="Normal"/>
    <w:link w:val="z-PrincipiodelformularioCar"/>
    <w:hidden/>
    <w:uiPriority w:val="99"/>
    <w:semiHidden/>
    <w:unhideWhenUsed/>
    <w:rsid w:val="00CD3C8E"/>
    <w:pPr>
      <w:pBdr>
        <w:bottom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PrincipiodelformularioCar">
    <w:name w:val="z-Principio del formulario Car"/>
    <w:basedOn w:val="Fuentedeprrafopredeter"/>
    <w:link w:val="z-Principiodelformulario"/>
    <w:uiPriority w:val="99"/>
    <w:semiHidden/>
    <w:rsid w:val="00CD3C8E"/>
    <w:rPr>
      <w:rFonts w:ascii="Arial" w:eastAsia="Times New Roman" w:hAnsi="Arial" w:cs="Arial"/>
      <w:vanish/>
      <w:sz w:val="16"/>
      <w:szCs w:val="16"/>
      <w:lang w:eastAsia="es-DO"/>
    </w:rPr>
  </w:style>
  <w:style w:type="paragraph" w:styleId="z-Finaldelformulario">
    <w:name w:val="HTML Bottom of Form"/>
    <w:basedOn w:val="Normal"/>
    <w:next w:val="Normal"/>
    <w:link w:val="z-FinaldelformularioCar"/>
    <w:hidden/>
    <w:uiPriority w:val="99"/>
    <w:semiHidden/>
    <w:unhideWhenUsed/>
    <w:rsid w:val="00CD3C8E"/>
    <w:pPr>
      <w:pBdr>
        <w:top w:val="single" w:sz="6" w:space="1" w:color="auto"/>
      </w:pBdr>
      <w:spacing w:after="0" w:line="240" w:lineRule="auto"/>
      <w:jc w:val="center"/>
    </w:pPr>
    <w:rPr>
      <w:rFonts w:ascii="Arial" w:eastAsia="Times New Roman" w:hAnsi="Arial" w:cs="Arial"/>
      <w:vanish/>
      <w:sz w:val="16"/>
      <w:szCs w:val="16"/>
      <w:lang w:eastAsia="es-DO"/>
    </w:rPr>
  </w:style>
  <w:style w:type="character" w:customStyle="1" w:styleId="z-FinaldelformularioCar">
    <w:name w:val="z-Final del formulario Car"/>
    <w:basedOn w:val="Fuentedeprrafopredeter"/>
    <w:link w:val="z-Finaldelformulario"/>
    <w:uiPriority w:val="99"/>
    <w:semiHidden/>
    <w:rsid w:val="00CD3C8E"/>
    <w:rPr>
      <w:rFonts w:ascii="Arial" w:eastAsia="Times New Roman" w:hAnsi="Arial" w:cs="Arial"/>
      <w:vanish/>
      <w:sz w:val="16"/>
      <w:szCs w:val="16"/>
      <w:lang w:eastAsia="es-DO"/>
    </w:rPr>
  </w:style>
  <w:style w:type="table" w:styleId="Sombreadomedio1-nfasis5">
    <w:name w:val="Medium Shading 1 Accent 5"/>
    <w:basedOn w:val="Tablanormal"/>
    <w:uiPriority w:val="63"/>
    <w:rsid w:val="005F64F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BD1845"/>
    <w:rPr>
      <w:sz w:val="16"/>
      <w:szCs w:val="16"/>
    </w:rPr>
  </w:style>
  <w:style w:type="paragraph" w:styleId="Textocomentario">
    <w:name w:val="annotation text"/>
    <w:basedOn w:val="Normal"/>
    <w:link w:val="TextocomentarioCar"/>
    <w:uiPriority w:val="99"/>
    <w:semiHidden/>
    <w:unhideWhenUsed/>
    <w:rsid w:val="00BD18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1845"/>
    <w:rPr>
      <w:sz w:val="20"/>
      <w:szCs w:val="20"/>
    </w:rPr>
  </w:style>
  <w:style w:type="paragraph" w:styleId="Asuntodelcomentario">
    <w:name w:val="annotation subject"/>
    <w:basedOn w:val="Textocomentario"/>
    <w:next w:val="Textocomentario"/>
    <w:link w:val="AsuntodelcomentarioCar"/>
    <w:uiPriority w:val="99"/>
    <w:semiHidden/>
    <w:unhideWhenUsed/>
    <w:rsid w:val="00BD1845"/>
    <w:rPr>
      <w:b/>
      <w:bCs/>
    </w:rPr>
  </w:style>
  <w:style w:type="character" w:customStyle="1" w:styleId="AsuntodelcomentarioCar">
    <w:name w:val="Asunto del comentario Car"/>
    <w:basedOn w:val="TextocomentarioCar"/>
    <w:link w:val="Asuntodelcomentario"/>
    <w:uiPriority w:val="99"/>
    <w:semiHidden/>
    <w:rsid w:val="00BD18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317">
      <w:bodyDiv w:val="1"/>
      <w:marLeft w:val="0"/>
      <w:marRight w:val="0"/>
      <w:marTop w:val="0"/>
      <w:marBottom w:val="0"/>
      <w:divBdr>
        <w:top w:val="none" w:sz="0" w:space="0" w:color="auto"/>
        <w:left w:val="none" w:sz="0" w:space="0" w:color="auto"/>
        <w:bottom w:val="none" w:sz="0" w:space="0" w:color="auto"/>
        <w:right w:val="none" w:sz="0" w:space="0" w:color="auto"/>
      </w:divBdr>
    </w:div>
    <w:div w:id="130750755">
      <w:bodyDiv w:val="1"/>
      <w:marLeft w:val="0"/>
      <w:marRight w:val="0"/>
      <w:marTop w:val="0"/>
      <w:marBottom w:val="0"/>
      <w:divBdr>
        <w:top w:val="none" w:sz="0" w:space="0" w:color="auto"/>
        <w:left w:val="none" w:sz="0" w:space="0" w:color="auto"/>
        <w:bottom w:val="none" w:sz="0" w:space="0" w:color="auto"/>
        <w:right w:val="none" w:sz="0" w:space="0" w:color="auto"/>
      </w:divBdr>
    </w:div>
    <w:div w:id="178935882">
      <w:bodyDiv w:val="1"/>
      <w:marLeft w:val="0"/>
      <w:marRight w:val="0"/>
      <w:marTop w:val="0"/>
      <w:marBottom w:val="0"/>
      <w:divBdr>
        <w:top w:val="none" w:sz="0" w:space="0" w:color="auto"/>
        <w:left w:val="none" w:sz="0" w:space="0" w:color="auto"/>
        <w:bottom w:val="none" w:sz="0" w:space="0" w:color="auto"/>
        <w:right w:val="none" w:sz="0" w:space="0" w:color="auto"/>
      </w:divBdr>
    </w:div>
    <w:div w:id="181214382">
      <w:bodyDiv w:val="1"/>
      <w:marLeft w:val="0"/>
      <w:marRight w:val="0"/>
      <w:marTop w:val="0"/>
      <w:marBottom w:val="0"/>
      <w:divBdr>
        <w:top w:val="none" w:sz="0" w:space="0" w:color="auto"/>
        <w:left w:val="none" w:sz="0" w:space="0" w:color="auto"/>
        <w:bottom w:val="none" w:sz="0" w:space="0" w:color="auto"/>
        <w:right w:val="none" w:sz="0" w:space="0" w:color="auto"/>
      </w:divBdr>
    </w:div>
    <w:div w:id="338198048">
      <w:bodyDiv w:val="1"/>
      <w:marLeft w:val="0"/>
      <w:marRight w:val="0"/>
      <w:marTop w:val="0"/>
      <w:marBottom w:val="0"/>
      <w:divBdr>
        <w:top w:val="none" w:sz="0" w:space="0" w:color="auto"/>
        <w:left w:val="none" w:sz="0" w:space="0" w:color="auto"/>
        <w:bottom w:val="none" w:sz="0" w:space="0" w:color="auto"/>
        <w:right w:val="none" w:sz="0" w:space="0" w:color="auto"/>
      </w:divBdr>
    </w:div>
    <w:div w:id="522670824">
      <w:bodyDiv w:val="1"/>
      <w:marLeft w:val="0"/>
      <w:marRight w:val="0"/>
      <w:marTop w:val="0"/>
      <w:marBottom w:val="0"/>
      <w:divBdr>
        <w:top w:val="none" w:sz="0" w:space="0" w:color="auto"/>
        <w:left w:val="none" w:sz="0" w:space="0" w:color="auto"/>
        <w:bottom w:val="none" w:sz="0" w:space="0" w:color="auto"/>
        <w:right w:val="none" w:sz="0" w:space="0" w:color="auto"/>
      </w:divBdr>
    </w:div>
    <w:div w:id="730732523">
      <w:bodyDiv w:val="1"/>
      <w:marLeft w:val="0"/>
      <w:marRight w:val="0"/>
      <w:marTop w:val="0"/>
      <w:marBottom w:val="0"/>
      <w:divBdr>
        <w:top w:val="none" w:sz="0" w:space="0" w:color="auto"/>
        <w:left w:val="none" w:sz="0" w:space="0" w:color="auto"/>
        <w:bottom w:val="none" w:sz="0" w:space="0" w:color="auto"/>
        <w:right w:val="none" w:sz="0" w:space="0" w:color="auto"/>
      </w:divBdr>
    </w:div>
    <w:div w:id="862747752">
      <w:bodyDiv w:val="1"/>
      <w:marLeft w:val="0"/>
      <w:marRight w:val="0"/>
      <w:marTop w:val="0"/>
      <w:marBottom w:val="0"/>
      <w:divBdr>
        <w:top w:val="none" w:sz="0" w:space="0" w:color="auto"/>
        <w:left w:val="none" w:sz="0" w:space="0" w:color="auto"/>
        <w:bottom w:val="none" w:sz="0" w:space="0" w:color="auto"/>
        <w:right w:val="none" w:sz="0" w:space="0" w:color="auto"/>
      </w:divBdr>
    </w:div>
    <w:div w:id="1132871985">
      <w:bodyDiv w:val="1"/>
      <w:marLeft w:val="0"/>
      <w:marRight w:val="0"/>
      <w:marTop w:val="0"/>
      <w:marBottom w:val="0"/>
      <w:divBdr>
        <w:top w:val="none" w:sz="0" w:space="0" w:color="auto"/>
        <w:left w:val="none" w:sz="0" w:space="0" w:color="auto"/>
        <w:bottom w:val="none" w:sz="0" w:space="0" w:color="auto"/>
        <w:right w:val="none" w:sz="0" w:space="0" w:color="auto"/>
      </w:divBdr>
    </w:div>
    <w:div w:id="1136797375">
      <w:bodyDiv w:val="1"/>
      <w:marLeft w:val="0"/>
      <w:marRight w:val="0"/>
      <w:marTop w:val="0"/>
      <w:marBottom w:val="0"/>
      <w:divBdr>
        <w:top w:val="none" w:sz="0" w:space="0" w:color="auto"/>
        <w:left w:val="none" w:sz="0" w:space="0" w:color="auto"/>
        <w:bottom w:val="none" w:sz="0" w:space="0" w:color="auto"/>
        <w:right w:val="none" w:sz="0" w:space="0" w:color="auto"/>
      </w:divBdr>
    </w:div>
    <w:div w:id="1229262619">
      <w:bodyDiv w:val="1"/>
      <w:marLeft w:val="0"/>
      <w:marRight w:val="0"/>
      <w:marTop w:val="0"/>
      <w:marBottom w:val="0"/>
      <w:divBdr>
        <w:top w:val="none" w:sz="0" w:space="0" w:color="auto"/>
        <w:left w:val="none" w:sz="0" w:space="0" w:color="auto"/>
        <w:bottom w:val="none" w:sz="0" w:space="0" w:color="auto"/>
        <w:right w:val="none" w:sz="0" w:space="0" w:color="auto"/>
      </w:divBdr>
    </w:div>
    <w:div w:id="1377702007">
      <w:bodyDiv w:val="1"/>
      <w:marLeft w:val="0"/>
      <w:marRight w:val="0"/>
      <w:marTop w:val="0"/>
      <w:marBottom w:val="0"/>
      <w:divBdr>
        <w:top w:val="none" w:sz="0" w:space="0" w:color="auto"/>
        <w:left w:val="none" w:sz="0" w:space="0" w:color="auto"/>
        <w:bottom w:val="none" w:sz="0" w:space="0" w:color="auto"/>
        <w:right w:val="none" w:sz="0" w:space="0" w:color="auto"/>
      </w:divBdr>
      <w:divsChild>
        <w:div w:id="1175222269">
          <w:marLeft w:val="0"/>
          <w:marRight w:val="0"/>
          <w:marTop w:val="0"/>
          <w:marBottom w:val="0"/>
          <w:divBdr>
            <w:top w:val="none" w:sz="0" w:space="0" w:color="auto"/>
            <w:left w:val="none" w:sz="0" w:space="0" w:color="auto"/>
            <w:bottom w:val="none" w:sz="0" w:space="0" w:color="auto"/>
            <w:right w:val="none" w:sz="0" w:space="0" w:color="auto"/>
          </w:divBdr>
          <w:divsChild>
            <w:div w:id="585312037">
              <w:marLeft w:val="0"/>
              <w:marRight w:val="0"/>
              <w:marTop w:val="0"/>
              <w:marBottom w:val="0"/>
              <w:divBdr>
                <w:top w:val="none" w:sz="0" w:space="0" w:color="auto"/>
                <w:left w:val="none" w:sz="0" w:space="0" w:color="auto"/>
                <w:bottom w:val="none" w:sz="0" w:space="0" w:color="auto"/>
                <w:right w:val="none" w:sz="0" w:space="0" w:color="auto"/>
              </w:divBdr>
              <w:divsChild>
                <w:div w:id="83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41215">
      <w:bodyDiv w:val="1"/>
      <w:marLeft w:val="0"/>
      <w:marRight w:val="0"/>
      <w:marTop w:val="0"/>
      <w:marBottom w:val="0"/>
      <w:divBdr>
        <w:top w:val="none" w:sz="0" w:space="0" w:color="auto"/>
        <w:left w:val="none" w:sz="0" w:space="0" w:color="auto"/>
        <w:bottom w:val="none" w:sz="0" w:space="0" w:color="auto"/>
        <w:right w:val="none" w:sz="0" w:space="0" w:color="auto"/>
      </w:divBdr>
    </w:div>
    <w:div w:id="1528106765">
      <w:bodyDiv w:val="1"/>
      <w:marLeft w:val="0"/>
      <w:marRight w:val="0"/>
      <w:marTop w:val="0"/>
      <w:marBottom w:val="0"/>
      <w:divBdr>
        <w:top w:val="none" w:sz="0" w:space="0" w:color="auto"/>
        <w:left w:val="none" w:sz="0" w:space="0" w:color="auto"/>
        <w:bottom w:val="none" w:sz="0" w:space="0" w:color="auto"/>
        <w:right w:val="none" w:sz="0" w:space="0" w:color="auto"/>
      </w:divBdr>
    </w:div>
    <w:div w:id="1726292370">
      <w:bodyDiv w:val="1"/>
      <w:marLeft w:val="0"/>
      <w:marRight w:val="0"/>
      <w:marTop w:val="0"/>
      <w:marBottom w:val="0"/>
      <w:divBdr>
        <w:top w:val="none" w:sz="0" w:space="0" w:color="auto"/>
        <w:left w:val="none" w:sz="0" w:space="0" w:color="auto"/>
        <w:bottom w:val="none" w:sz="0" w:space="0" w:color="auto"/>
        <w:right w:val="none" w:sz="0" w:space="0" w:color="auto"/>
      </w:divBdr>
    </w:div>
    <w:div w:id="1800564056">
      <w:bodyDiv w:val="1"/>
      <w:marLeft w:val="0"/>
      <w:marRight w:val="0"/>
      <w:marTop w:val="0"/>
      <w:marBottom w:val="0"/>
      <w:divBdr>
        <w:top w:val="none" w:sz="0" w:space="0" w:color="auto"/>
        <w:left w:val="none" w:sz="0" w:space="0" w:color="auto"/>
        <w:bottom w:val="none" w:sz="0" w:space="0" w:color="auto"/>
        <w:right w:val="none" w:sz="0" w:space="0" w:color="auto"/>
      </w:divBdr>
    </w:div>
    <w:div w:id="1811165768">
      <w:bodyDiv w:val="1"/>
      <w:marLeft w:val="0"/>
      <w:marRight w:val="0"/>
      <w:marTop w:val="0"/>
      <w:marBottom w:val="0"/>
      <w:divBdr>
        <w:top w:val="none" w:sz="0" w:space="0" w:color="auto"/>
        <w:left w:val="none" w:sz="0" w:space="0" w:color="auto"/>
        <w:bottom w:val="none" w:sz="0" w:space="0" w:color="auto"/>
        <w:right w:val="none" w:sz="0" w:space="0" w:color="auto"/>
      </w:divBdr>
    </w:div>
    <w:div w:id="2024087701">
      <w:bodyDiv w:val="1"/>
      <w:marLeft w:val="0"/>
      <w:marRight w:val="0"/>
      <w:marTop w:val="0"/>
      <w:marBottom w:val="0"/>
      <w:divBdr>
        <w:top w:val="none" w:sz="0" w:space="0" w:color="auto"/>
        <w:left w:val="none" w:sz="0" w:space="0" w:color="auto"/>
        <w:bottom w:val="none" w:sz="0" w:space="0" w:color="auto"/>
        <w:right w:val="none" w:sz="0" w:space="0" w:color="auto"/>
      </w:divBdr>
    </w:div>
    <w:div w:id="20511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A199-6997-4016-93A8-5BD0893A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2568</Words>
  <Characters>14128</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Resultados</vt:lpstr>
      <vt:lpstr>Informe de Resultados</vt:lpstr>
    </vt:vector>
  </TitlesOfParts>
  <Company>Microsoft</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Resultados</dc:title>
  <dc:subject>Trimestre: Julio – Septiembre 2014</dc:subject>
  <dc:creator>Miguel Tejada Fernandez</dc:creator>
  <cp:lastModifiedBy>Alvaro Leandro Segura Sierra</cp:lastModifiedBy>
  <cp:revision>2</cp:revision>
  <cp:lastPrinted>2013-12-12T17:08:00Z</cp:lastPrinted>
  <dcterms:created xsi:type="dcterms:W3CDTF">2019-04-02T19:07:00Z</dcterms:created>
  <dcterms:modified xsi:type="dcterms:W3CDTF">2019-04-02T19:07:00Z</dcterms:modified>
</cp:coreProperties>
</file>