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AC6BB7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Octubre</w:t>
            </w:r>
            <w:bookmarkStart w:id="0" w:name="_GoBack"/>
            <w:bookmarkEnd w:id="0"/>
            <w:r w:rsidR="00FF614D">
              <w:rPr>
                <w:b/>
                <w:lang w:val="es-ES"/>
              </w:rPr>
              <w:t xml:space="preserve"> 2021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AC6BB7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AC6BB7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AC6BB7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AC6BB7" w:rsidP="00482475">
            <w:pPr>
              <w:jc w:val="both"/>
            </w:pPr>
            <w:hyperlink r:id="rId16" w:history="1"/>
          </w:p>
          <w:p w:rsidR="001B4CC6" w:rsidRDefault="00AC6BB7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AC6BB7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AC6BB7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AC6BB7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AC6BB7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AC6BB7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AC6BB7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AC6BB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AC6BB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C6BB7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C6BB7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C6BB7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AC6BB7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C6BB7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C6BB7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C6BB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C6BB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C6BB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C6BB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C6BB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C6BB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C6BB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C6BB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AC6BB7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AC6BB7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AC6BB7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AC6BB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AC6BB7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AC6BB7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C6BB7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AC6BB7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AC6BB7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AC6BB7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AC6BB7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AC6BB7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AC6BB7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AC6BB7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AC6BB7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AC6BB7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C6BB7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C6BB7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AC6BB7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AC6BB7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AC6BB7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C6BB7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AC6BB7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AC6BB7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AC6BB7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AC6BB7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AC6BB7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C6BB7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C6BB7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AC6BB7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AC6BB7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AC6BB7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AC6BB7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AC6BB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C6BB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C6BB7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AC6BB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AC6BB7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AC6BB7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AC6BB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AC6BB7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C6BB7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AC6BB7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AC6BB7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AC6BB7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AC6BB7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AC6BB7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AC6BB7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AC6BB7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AC6BB7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AC6BB7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AC6BB7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AC6BB7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AC6BB7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AC6BB7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AC6BB7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AC6BB7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AC6BB7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AC6BB7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AC6BB7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AC6BB7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AC6BB7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AC6BB7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AC6BB7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AC6BB7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Default="008C79BE" w:rsidP="00A13816">
      <w:pPr>
        <w:spacing w:after="0" w:line="240" w:lineRule="auto"/>
        <w:rPr>
          <w:b/>
          <w:sz w:val="28"/>
          <w:szCs w:val="28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  <w:r w:rsidR="00A13816">
        <w:rPr>
          <w:b/>
          <w:sz w:val="28"/>
          <w:szCs w:val="28"/>
        </w:rPr>
        <w:t>Henry Manuel Dominguez Poche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AC6BB7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19F" w:rsidRDefault="001F119F" w:rsidP="00FD0AB7">
      <w:pPr>
        <w:spacing w:after="0" w:line="240" w:lineRule="auto"/>
      </w:pPr>
      <w:r>
        <w:separator/>
      </w:r>
    </w:p>
  </w:endnote>
  <w:endnote w:type="continuationSeparator" w:id="0">
    <w:p w:rsidR="001F119F" w:rsidRDefault="001F119F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19F" w:rsidRDefault="001F119F" w:rsidP="00FD0AB7">
      <w:pPr>
        <w:spacing w:after="0" w:line="240" w:lineRule="auto"/>
      </w:pPr>
      <w:r>
        <w:separator/>
      </w:r>
    </w:p>
  </w:footnote>
  <w:footnote w:type="continuationSeparator" w:id="0">
    <w:p w:rsidR="001F119F" w:rsidRDefault="001F119F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2AC4"/>
    <w:rsid w:val="007F1C04"/>
    <w:rsid w:val="007F3C9E"/>
    <w:rsid w:val="007F48F2"/>
    <w:rsid w:val="008004FC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CD40F-B2CF-4702-84FF-7F779131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8246</Words>
  <Characters>45357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2021-11-02T13:12:00Z</dcterms:created>
  <dcterms:modified xsi:type="dcterms:W3CDTF">2021-11-02T13:12:00Z</dcterms:modified>
</cp:coreProperties>
</file>